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349f6db784b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5583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Liias, C. Wilson, Kauffman, Valdez, Lovelett, Lovick, Nguyen, and Nobles)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young driver safety; amending RCW 46.20.075, 46.82.280, and 46.82.330; adding a new section to chapter 46.82 RCW; adding a new section to chapter 39.19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October 1, 2024, and must include, but need not be limited to, the following:</w:t>
      </w:r>
    </w:p>
    <w:p>
      <w:pPr>
        <w:spacing w:before="0" w:after="0" w:line="408" w:lineRule="exact"/>
        <w:ind w:left="0" w:right="0" w:firstLine="576"/>
        <w:jc w:val="left"/>
      </w:pPr>
      <w:r>
        <w:rPr/>
        <w:t xml:space="preserve">(1)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w:t>
      </w:r>
      <w:r>
        <w:t>((</w:t>
      </w:r>
      <w:r>
        <w:rPr>
          <w:strike/>
        </w:rPr>
        <w:t xml:space="preserve">as defined in RCW 42.17A.005</w:t>
      </w:r>
      <w:r>
        <w:t>))</w:t>
      </w:r>
      <w:r>
        <w:rPr/>
        <w:t xml:space="preserve">.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this section</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For the purposes of this section, "immediate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2017 c 197 s 10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instruction portions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w:t>
      </w:r>
      <w:r>
        <w:t>((</w:t>
      </w:r>
      <w:r>
        <w:rPr>
          <w:strike/>
        </w:rPr>
        <w:t xml:space="preserve">twenty-one</w:t>
      </w:r>
      <w:r>
        <w:t>))</w:t>
      </w:r>
      <w:r>
        <w:rPr/>
        <w:t xml:space="preserve"> </w:t>
      </w:r>
      <w:r>
        <w:rPr>
          <w:u w:val="single"/>
        </w:rPr>
        <w:t xml:space="preserve">21</w:t>
      </w:r>
      <w:r>
        <w:rPr/>
        <w:t xml:space="preserve"> years of age;</w:t>
      </w:r>
    </w:p>
    <w:p>
      <w:pPr>
        <w:spacing w:before="0" w:after="0" w:line="408" w:lineRule="exact"/>
        <w:ind w:left="0" w:right="0" w:firstLine="576"/>
        <w:jc w:val="left"/>
      </w:pPr>
      <w:r>
        <w:rPr/>
        <w:t xml:space="preserve">(c) Has completed an acceptable application on a form prescribed by the director;</w:t>
      </w:r>
    </w:p>
    <w:p>
      <w:pPr>
        <w:spacing w:before="0" w:after="0" w:line="408" w:lineRule="exact"/>
        <w:ind w:left="0" w:right="0" w:firstLine="576"/>
        <w:jc w:val="left"/>
      </w:pPr>
      <w:r>
        <w:rPr/>
        <w:t xml:space="preserve">(d) Has satisfactorily completed a course of instruction in the training of drivers acceptable to the director that is no less than </w:t>
      </w:r>
      <w:r>
        <w:t>((</w:t>
      </w:r>
      <w:r>
        <w:rPr>
          <w:strike/>
        </w:rPr>
        <w:t xml:space="preserve">sixty</w:t>
      </w:r>
      <w:r>
        <w:t>))</w:t>
      </w:r>
      <w:r>
        <w:rPr/>
        <w:t xml:space="preserve"> </w:t>
      </w:r>
      <w:r>
        <w:rPr>
          <w:u w:val="single"/>
        </w:rPr>
        <w:t xml:space="preserve">60</w:t>
      </w:r>
      <w:r>
        <w:rPr/>
        <w:t xml:space="preserve">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0" w:after="0" w:line="408" w:lineRule="exact"/>
        <w:ind w:left="0" w:right="0" w:firstLine="576"/>
        <w:jc w:val="left"/>
      </w:pPr>
      <w:r>
        <w:rPr>
          <w:u w:val="single"/>
        </w:rPr>
        <w:t xml:space="preserve">(3) The department may develop rules to establish alternative pathways to licensure to substitute for subsection (2) of this section provided the alternative pathways enable the department to assess the applicant's fitness, knowledge, skill, and ability to teach the classroom and behind-the-wheel instruction portions of a driver training education program, and provided behind-the-wheel instructor certification include behind-the-wheel teaching methods and supervised practice behind-the-wheel teaching of driving techniques.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By January 1, 2025,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office shall develop a program to foster the development of women, minority-owned, and veteran-owned licensed driver training schools in the state, including through instruction on topics relevant to owning and operating a licensed driver training school, and shall report to the transportation committees of the legislature by October 1, 2024, with an update on program implementation and administration.</w:t>
      </w:r>
    </w:p>
    <w:p/>
    <w:p>
      <w:pPr>
        <w:jc w:val="center"/>
      </w:pPr>
      <w:r>
        <w:rPr>
          <w:b/>
        </w:rPr>
        <w:t>--- END ---</w:t>
      </w:r>
    </w:p>
    <w:sectPr>
      <w:pgNumType w:start="1"/>
      <w:footerReference xmlns:r="http://schemas.openxmlformats.org/officeDocument/2006/relationships" r:id="R9425b0e5aa814b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dcd5f46a14add" /><Relationship Type="http://schemas.openxmlformats.org/officeDocument/2006/relationships/footer" Target="/word/footer1.xml" Id="R9425b0e5aa814b56" /></Relationships>
</file>