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00f82f6e24e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5790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5790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5790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Dhingra, Wellman, Kuderer, Nobles, Trudeau, Hunt, Fortunato, Hasegawa, Lovick, Saldaña, Stanford, Valdez, Van De Wege, and C. Wilson</w:t>
      </w:r>
    </w:p>
    <w:p/>
    <w:p>
      <w:r>
        <w:rPr>
          <w:t xml:space="preserve">Prefiled 12/04/23.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equipment in schools; and adding a new section to chapter 28A.210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Beginning in the 2026-27 school year, each school district shall:</w:t>
      </w:r>
    </w:p>
    <w:p>
      <w:pPr>
        <w:spacing w:before="0" w:after="0" w:line="408" w:lineRule="exact"/>
        <w:ind w:left="0" w:right="0" w:firstLine="576"/>
        <w:jc w:val="left"/>
      </w:pPr>
      <w:r>
        <w:rPr/>
        <w:t xml:space="preserve">(a) Maintain and make available to school employees and volunteers bleeding control equipment located on each school campus for use in the event of a traumatic injury involving blood loss. The bleeding control equipment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described in subsection (4) of this section. If a school has more than 1,000 students, it must have one trained employee per 500 students; and</w:t>
      </w:r>
    </w:p>
    <w:p>
      <w:pPr>
        <w:spacing w:before="0" w:after="0" w:line="408" w:lineRule="exact"/>
        <w:ind w:left="0" w:right="0" w:firstLine="576"/>
        <w:jc w:val="left"/>
      </w:pPr>
      <w:r>
        <w:rPr/>
        <w:t xml:space="preserve">(c) Require each school to inspect and inventory bleeding control equipment annually and after each use to ensure that any of the equipment is not expired or missing, and that any expired or missing equipment is replaced as necessary.</w:t>
      </w:r>
    </w:p>
    <w:p>
      <w:pPr>
        <w:spacing w:before="0" w:after="0" w:line="408" w:lineRule="exact"/>
        <w:ind w:left="0" w:right="0" w:firstLine="576"/>
        <w:jc w:val="left"/>
      </w:pPr>
      <w:r>
        <w:rPr/>
        <w:t xml:space="preserve">(2) Bleeding control equipment must include:</w:t>
      </w:r>
    </w:p>
    <w:p>
      <w:pPr>
        <w:spacing w:before="0" w:after="0" w:line="408" w:lineRule="exact"/>
        <w:ind w:left="0" w:right="0" w:firstLine="576"/>
        <w:jc w:val="left"/>
      </w:pPr>
      <w:r>
        <w:rPr/>
        <w:t xml:space="preserve">(a) A tourniquet endorsed by or approved for use in battlefield trauma care by the United States department of defense committee on tactical combat casualty care;</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a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with the readily available bleeding control equipment.</w:t>
      </w:r>
    </w:p>
    <w:p>
      <w:pPr>
        <w:spacing w:before="0" w:after="0" w:line="408" w:lineRule="exact"/>
        <w:ind w:left="0" w:right="0" w:firstLine="576"/>
        <w:jc w:val="left"/>
      </w:pPr>
      <w:r>
        <w:rPr/>
        <w:t xml:space="preserve">(4) School districts may satisfy the training requirements by using in-person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Pr>
        <w:spacing w:before="0" w:after="0" w:line="408" w:lineRule="exact"/>
        <w:ind w:left="0" w:right="0" w:firstLine="576"/>
        <w:jc w:val="left"/>
      </w:pPr>
      <w:r>
        <w:rPr/>
        <w:t xml:space="preserve">(5) School districts are encouraged to implement the requirements in this section during the 2024-25 and 2025-26 school years.</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subject to chapter 28A.715 RCW.</w:t>
      </w:r>
    </w:p>
    <w:p/>
    <w:p>
      <w:pPr>
        <w:jc w:val="center"/>
      </w:pPr>
      <w:r>
        <w:rPr>
          <w:b/>
        </w:rPr>
        <w:t>--- END ---</w:t>
      </w:r>
    </w:p>
    <w:sectPr>
      <w:pgNumType w:start="1"/>
      <w:footerReference xmlns:r="http://schemas.openxmlformats.org/officeDocument/2006/relationships" r:id="R29d43067d32f49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9d166982c46df" /><Relationship Type="http://schemas.openxmlformats.org/officeDocument/2006/relationships/footer" Target="/word/footer1.xml" Id="R29d43067d32f4998" /></Relationships>
</file>