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02d9ee89240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6047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92</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Warnick, Boehnke,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some publicly owned natural gas and electric utilities and other government agencies to obtain greenhouse gas allowances to cover a portion of emissions. Because the allowance auctions must be carefully regulated to guard against market interference, market participants are strictly prohibited from disclosing any information about how they plan to participate in a specific auction. Investor-owned utilities, which are governed by a private board of directors, are able to keep this information confidential. In contrast, many public agencies are overseen by governing boards that are subject to the open public meetings act, which requires that deliberations be conducted in public. This act allows the governing body of a public agency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greenhouse gas allowance auction bidding information that is prohibited from release or disclosure under RCW 70A.65.100(8)</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3aa97588302142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6471bea024e13" /><Relationship Type="http://schemas.openxmlformats.org/officeDocument/2006/relationships/footer" Target="/word/footer1.xml" Id="R3aa975883021428e" /></Relationships>
</file>