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29c0f870a4f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6069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35</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Mullet, Valdez, Hunt, Liias, Nguyen, Saldaña, and Van De Wege; by request of State Treasurer)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private Washington workforce retirement security standards by establishing Washington saves, an automatic enrollment individual retirement savings account program, and updating the Washington retirement marketplace statute; amending RCW 43.330.732 and 43.330.735; reenacting and amending RCW 43.79A.040 and 43.79A.040; adding a new chapter to Title 19 RCW; creating a new section; decodifying RCW 43.330.730; prescribing penalties;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0" w:after="0" w:line="408" w:lineRule="exact"/>
        <w:ind w:left="0" w:right="0" w:firstLine="576"/>
        <w:jc w:val="left"/>
      </w:pPr>
      <w:r>
        <w:rPr/>
        <w:t xml:space="preserve">(3) Washington saves must be designed in consultation with covered employers and covered employees to ensure that the businesses and workers intended to benefit from the program are provided ample opportunity to learn about and give input on the program design and timeline for implementation before the program is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11 of this act.</w:t>
      </w:r>
    </w:p>
    <w:p>
      <w:pPr>
        <w:spacing w:before="0" w:after="0" w:line="408" w:lineRule="exact"/>
        <w:ind w:left="0" w:right="0" w:firstLine="576"/>
        <w:jc w:val="left"/>
      </w:pPr>
      <w:r>
        <w:rPr/>
        <w:t xml:space="preserve">(2) "Administrative agency" means the state agency or office that will provide administrative support to the governing board, beginning no later than July 1, 2027.</w:t>
      </w:r>
    </w:p>
    <w:p>
      <w:pPr>
        <w:spacing w:before="0" w:after="0" w:line="408" w:lineRule="exact"/>
        <w:ind w:left="0" w:right="0" w:firstLine="576"/>
        <w:jc w:val="left"/>
      </w:pPr>
      <w:r>
        <w:rPr/>
        <w:t xml:space="preserve">(3)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(4)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(5) "Covered employee" means an individual who is 18 years of age or older, who is employed by a covered employer.</w:t>
      </w:r>
    </w:p>
    <w:p>
      <w:pPr>
        <w:spacing w:before="0" w:after="0" w:line="408" w:lineRule="exact"/>
        <w:ind w:left="0" w:right="0" w:firstLine="576"/>
        <w:jc w:val="left"/>
      </w:pPr>
      <w:r>
        <w:rPr/>
        <w:t xml:space="preserve">(6)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(9)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(10) "Employment" has the same meaning as in RCW 50.04.100.</w:t>
      </w:r>
    </w:p>
    <w:p>
      <w:pPr>
        <w:spacing w:before="0" w:after="0" w:line="408" w:lineRule="exact"/>
        <w:ind w:left="0" w:right="0" w:firstLine="576"/>
        <w:jc w:val="left"/>
      </w:pPr>
      <w:r>
        <w:rPr/>
        <w:t xml:space="preserve">(11) "Governing board" means the board created in section 4 of this act.</w:t>
      </w:r>
    </w:p>
    <w:p>
      <w:pPr>
        <w:spacing w:before="0" w:after="0" w:line="408" w:lineRule="exact"/>
        <w:ind w:left="0" w:right="0" w:firstLine="576"/>
        <w:jc w:val="left"/>
      </w:pPr>
      <w:r>
        <w:rPr/>
        <w:t xml:space="preserve">(12)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(13) "Individual participant" means any individual who is contributing to, or has a balance credited in, an IRA through the program.</w:t>
      </w:r>
    </w:p>
    <w:p>
      <w:pPr>
        <w:spacing w:before="0" w:after="0" w:line="408" w:lineRule="exact"/>
        <w:ind w:left="0" w:right="0" w:firstLine="576"/>
        <w:jc w:val="left"/>
      </w:pPr>
      <w:r>
        <w:rPr/>
        <w:t xml:space="preserve">(14) "Internal revenue code" means the federal internal revenue code of 1986, as amended, or any successor law.</w:t>
      </w:r>
    </w:p>
    <w:p>
      <w:pPr>
        <w:spacing w:before="0" w:after="0" w:line="408" w:lineRule="exact"/>
        <w:ind w:left="0" w:right="0" w:firstLine="576"/>
        <w:jc w:val="left"/>
      </w:pPr>
      <w:r>
        <w:rPr/>
        <w:t xml:space="preserve">(15)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(16)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(17) "Program" means the Washington saves program established under this chapter.</w:t>
      </w:r>
    </w:p>
    <w:p>
      <w:pPr>
        <w:spacing w:before="0" w:after="0" w:line="408" w:lineRule="exact"/>
        <w:ind w:left="0" w:right="0" w:firstLine="576"/>
        <w:jc w:val="left"/>
      </w:pPr>
      <w:r>
        <w:rPr/>
        <w:t xml:space="preserve">(18)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(19)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 or additional retirement savings vehicles;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 at any time;</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Distribute program information and disclosures to covered employees, as provided in section 4(14) of this act.</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15 members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director of the department or the director's designee; and</w:t>
      </w:r>
    </w:p>
    <w:p>
      <w:pPr>
        <w:spacing w:before="0" w:after="0" w:line="408" w:lineRule="exact"/>
        <w:ind w:left="0" w:right="0" w:firstLine="576"/>
        <w:jc w:val="left"/>
      </w:pPr>
      <w:r>
        <w:rPr/>
        <w:t xml:space="preserve">(e) The following members representing the diversity and geography of the state, appointed by the governor:</w:t>
      </w:r>
    </w:p>
    <w:p>
      <w:pPr>
        <w:spacing w:before="0" w:after="0" w:line="408" w:lineRule="exact"/>
        <w:ind w:left="0" w:right="0" w:firstLine="576"/>
        <w:jc w:val="left"/>
      </w:pPr>
      <w:r>
        <w:rPr/>
        <w:t xml:space="preserve">(i) One member representing the securities industry;</w:t>
      </w:r>
    </w:p>
    <w:p>
      <w:pPr>
        <w:spacing w:before="0" w:after="0" w:line="408" w:lineRule="exact"/>
        <w:ind w:left="0" w:right="0" w:firstLine="576"/>
        <w:jc w:val="left"/>
      </w:pPr>
      <w:r>
        <w:rPr/>
        <w:t xml:space="preserve">(ii) One member representing the insurance industry;</w:t>
      </w:r>
    </w:p>
    <w:p>
      <w:pPr>
        <w:spacing w:before="0" w:after="0" w:line="408" w:lineRule="exact"/>
        <w:ind w:left="0" w:right="0" w:firstLine="576"/>
        <w:jc w:val="left"/>
      </w:pPr>
      <w:r>
        <w:rPr/>
        <w:t xml:space="preserve">(iii) One member who is a certified financial planner recommended by the national association of insurance and financial advisors of Washington;</w:t>
      </w:r>
    </w:p>
    <w:p>
      <w:pPr>
        <w:spacing w:before="0" w:after="0" w:line="408" w:lineRule="exact"/>
        <w:ind w:left="0" w:right="0" w:firstLine="576"/>
        <w:jc w:val="left"/>
      </w:pPr>
      <w:r>
        <w:rPr/>
        <w:t xml:space="preserve">(iv) One member representing the interests of small, independent businesses in Washington;</w:t>
      </w:r>
    </w:p>
    <w:p>
      <w:pPr>
        <w:spacing w:before="0" w:after="0" w:line="408" w:lineRule="exact"/>
        <w:ind w:left="0" w:right="0" w:firstLine="576"/>
        <w:jc w:val="left"/>
      </w:pPr>
      <w:r>
        <w:rPr/>
        <w:t xml:space="preserve">(v) One member representing the interests of minority-owned and women-owned businesses in Washington;</w:t>
      </w:r>
    </w:p>
    <w:p>
      <w:pPr>
        <w:spacing w:before="0" w:after="0" w:line="408" w:lineRule="exact"/>
        <w:ind w:left="0" w:right="0" w:firstLine="576"/>
        <w:jc w:val="left"/>
      </w:pPr>
      <w:r>
        <w:rPr/>
        <w:t xml:space="preserve">(vi) One member representing the Washington asset building coalition;</w:t>
      </w:r>
    </w:p>
    <w:p>
      <w:pPr>
        <w:spacing w:before="0" w:after="0" w:line="408" w:lineRule="exact"/>
        <w:ind w:left="0" w:right="0" w:firstLine="576"/>
        <w:jc w:val="left"/>
      </w:pPr>
      <w:r>
        <w:rPr/>
        <w:t xml:space="preserve">(vii) One member representing a retirement advocacy organization;</w:t>
      </w:r>
    </w:p>
    <w:p>
      <w:pPr>
        <w:spacing w:before="0" w:after="0" w:line="408" w:lineRule="exact"/>
        <w:ind w:left="0" w:right="0" w:firstLine="576"/>
        <w:jc w:val="left"/>
      </w:pPr>
      <w:r>
        <w:rPr/>
        <w:t xml:space="preserve">(viii) One member representing covered employees; and</w:t>
      </w:r>
    </w:p>
    <w:p>
      <w:pPr>
        <w:spacing w:before="0" w:after="0" w:line="408" w:lineRule="exact"/>
        <w:ind w:left="0" w:right="0" w:firstLine="576"/>
        <w:jc w:val="left"/>
      </w:pPr>
      <w:r>
        <w:rPr/>
        <w:t xml:space="preserve">(ix) One member representing covered employers.</w:t>
      </w:r>
    </w:p>
    <w:p>
      <w:pPr>
        <w:spacing w:before="0" w:after="0" w:line="408" w:lineRule="exact"/>
        <w:ind w:left="0" w:right="0" w:firstLine="576"/>
        <w:jc w:val="left"/>
      </w:pPr>
      <w:r>
        <w:rPr/>
        <w:t xml:space="preserve">(3)(a) The legislative member from the majority caucus of the house of representatives shall convene the initial meeting of the governing board. The governing board shall choose cochairs selected from the legislative membership for the design stage of the program until July 1, 2027. The governing board shall provide recommendations in the legislative report about who should be the chair of the governing board once the program is operational after July 1, 2027.</w:t>
      </w:r>
    </w:p>
    <w:p>
      <w:pPr>
        <w:spacing w:before="0" w:after="0" w:line="408" w:lineRule="exact"/>
        <w:ind w:left="0" w:right="0" w:firstLine="576"/>
        <w:jc w:val="left"/>
      </w:pPr>
      <w:r>
        <w:rPr/>
        <w:t xml:space="preserve">(b) After July 1, 2027, the legislative members of the governing board serve in an ex officio, advisory role to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must begin meeting in 2025.</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voting governing board member has one vote. The powers of the governing board must be exercised by a majority of all voting members present at the meeting of the governing board, whether in person or remotely. A quorum is required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Staff support for the governing board shall be provided by:</w:t>
      </w:r>
    </w:p>
    <w:p>
      <w:pPr>
        <w:spacing w:before="0" w:after="0" w:line="408" w:lineRule="exact"/>
        <w:ind w:left="0" w:right="0" w:firstLine="576"/>
        <w:jc w:val="left"/>
      </w:pPr>
      <w:r>
        <w:rPr/>
        <w:t xml:space="preserve">(a) The department of financial institutions, until no later than June 30, 2027. The department of financial institutions may contract with a third-party entity to provide assistance or expertise during the program outreach and education, design, and implementation stage if approved by the governing board; and</w:t>
      </w:r>
    </w:p>
    <w:p>
      <w:pPr>
        <w:spacing w:before="0" w:after="0" w:line="408" w:lineRule="exact"/>
        <w:ind w:left="0" w:right="0" w:firstLine="576"/>
        <w:jc w:val="left"/>
      </w:pPr>
      <w:r>
        <w:rPr/>
        <w:t xml:space="preserve">(b) The administrative agency, beginning no later than July 1, 2027.</w:t>
      </w:r>
    </w:p>
    <w:p>
      <w:pPr>
        <w:spacing w:before="0" w:after="0" w:line="408" w:lineRule="exact"/>
        <w:ind w:left="0" w:right="0" w:firstLine="576"/>
        <w:jc w:val="left"/>
      </w:pPr>
      <w:r>
        <w:rPr/>
        <w:t xml:space="preserve">(10) The governing board shall conduct an outreach and education initiative regarding the design and implementation of the program. The governing board shall consult, educate, and receive feedback from covered employers and covered employees regarding the program design and implementation. The outreach and education initiative must ensure that diverse employer and employee communities are consulted, that interpreters are provided, and that written documents and materials are translated. In order to facilitate accessibility for diverse affected businesses and employees, the governing board shall work with the various state commissions to develop culturally and linguistically responsive outreach and education plans.</w:t>
      </w:r>
    </w:p>
    <w:p>
      <w:pPr>
        <w:spacing w:before="0" w:after="0" w:line="408" w:lineRule="exact"/>
        <w:ind w:left="0" w:right="0" w:firstLine="576"/>
        <w:jc w:val="left"/>
      </w:pPr>
      <w:r>
        <w:rPr/>
        <w:t xml:space="preserve">(11)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(12)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Provide a simple process for covered employees to opt out of the
program at any time or modify their payroll deductions;</w:t>
      </w:r>
    </w:p>
    <w:p>
      <w:pPr>
        <w:spacing w:before="0" w:after="0" w:line="408" w:lineRule="exact"/>
        <w:ind w:left="0" w:right="0" w:firstLine="576"/>
        <w:jc w:val="left"/>
      </w:pPr>
      <w:r>
        <w:rPr/>
        <w:t xml:space="preserve">(vi) Maximize portability of individual accounts;</w:t>
      </w:r>
    </w:p>
    <w:p>
      <w:pPr>
        <w:spacing w:before="0" w:after="0" w:line="408" w:lineRule="exact"/>
        <w:ind w:left="0" w:right="0" w:firstLine="576"/>
        <w:jc w:val="left"/>
      </w:pPr>
      <w:r>
        <w:rPr/>
        <w:t xml:space="preserve">(vii) Maximize financial security in retirement; and</w:t>
      </w:r>
    </w:p>
    <w:p>
      <w:pPr>
        <w:spacing w:before="0" w:after="0" w:line="408" w:lineRule="exact"/>
        <w:ind w:left="0" w:right="0" w:firstLine="576"/>
        <w:jc w:val="left"/>
      </w:pPr>
      <w:r>
        <w:rPr/>
        <w:t xml:space="preserve">(viii)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department of financial institutions, the department, the office of minority and women's business enterprises, and the office of the secretary of state to create a strategy to educate and inform covered employers about employer administrative duties under this chapter, including the development of culturally relevant and responsive approaches centered in cultural humility with outreach to employers that are considered socially vulnerable, historically marginalized, or face cultural or language barriers to participate in workplace retirement savings programs;</w:t>
      </w:r>
    </w:p>
    <w:p>
      <w:pPr>
        <w:spacing w:before="0" w:after="0" w:line="408" w:lineRule="exact"/>
        <w:ind w:left="0" w:right="0" w:firstLine="576"/>
        <w:jc w:val="left"/>
      </w:pPr>
      <w:r>
        <w:rPr/>
        <w:t xml:space="preserve">(e) Launch the program by July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(13)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at any time,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promote cultural humility and engage culturally relevant and responsive approaches while including special consideration for socially vulnerable communities historically,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(14) The governing board shall develop:</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w:t>
      </w:r>
    </w:p>
    <w:p>
      <w:pPr>
        <w:spacing w:before="0" w:after="0" w:line="408" w:lineRule="exact"/>
        <w:ind w:left="0" w:right="0" w:firstLine="576"/>
        <w:jc w:val="left"/>
      </w:pPr>
      <w:r>
        <w:rPr/>
        <w:t xml:space="preserve">(vii) A statement that the program is voluntary for covered employees, and a covered employee may opt out of the program at any time; and</w:t>
      </w:r>
    </w:p>
    <w:p>
      <w:pPr>
        <w:spacing w:before="0" w:after="0" w:line="408" w:lineRule="exact"/>
        <w:ind w:left="0" w:right="0" w:firstLine="576"/>
        <w:jc w:val="left"/>
      </w:pPr>
      <w:r>
        <w:rPr/>
        <w:t xml:space="preserve">(viii)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the right to elect to make no contribution or to change the contribution rate under the program, and how to opt out of the program at any time;</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including instructions on how to access funds, and other distributions from the covered employee's IRA.</w:t>
      </w:r>
    </w:p>
    <w:p>
      <w:pPr>
        <w:spacing w:before="0" w:after="0" w:line="408" w:lineRule="exact"/>
        <w:ind w:left="0" w:right="0" w:firstLine="576"/>
        <w:jc w:val="left"/>
      </w:pPr>
      <w:r>
        <w:rPr/>
        <w:t xml:space="preserve">(15) The governing board must evaluate options to assist covered employees and employers to identify private sector providers of financial advice, to the extent feasible and unless prohibited by state or federal laws. The governing board must consider options including, but not limited to, a website established and maintained by the governing board. </w:t>
      </w:r>
    </w:p>
    <w:p>
      <w:pPr>
        <w:spacing w:before="0" w:after="0" w:line="408" w:lineRule="exact"/>
        <w:ind w:left="0" w:right="0" w:firstLine="576"/>
        <w:jc w:val="left"/>
      </w:pPr>
      <w:r>
        <w:rPr/>
        <w:t xml:space="preserve">(16)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(17) The governing board must collect administrative fees to defray the costs of administering the program. If the governing board creates or enters into a joint program agreement, as provided in subsection (16)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(18) The governing board, its members, and the administrative agency are not individually or collectively insurers of the funds or assets of the investment fund or individual accounts. Neither the governing board nor the administrative agency is liable for the action or inaction of the other.</w:t>
      </w:r>
    </w:p>
    <w:p>
      <w:pPr>
        <w:spacing w:before="0" w:after="0" w:line="408" w:lineRule="exact"/>
        <w:ind w:left="0" w:right="0" w:firstLine="576"/>
        <w:jc w:val="left"/>
      </w:pPr>
      <w:r>
        <w:rPr/>
        <w:t xml:space="preserve">(19) The governing board, its members, and the administrative agency are not individually or collectively liable to the state, to the fund, or to any other person as a result of their activities as members or staff, whether ministerial or discretionary, except for willful dishonesty or intentional violation of law. The governing board, its members, and the administrative agency may purchase liability insurance.</w:t>
      </w:r>
    </w:p>
    <w:p>
      <w:pPr>
        <w:spacing w:before="0" w:after="0" w:line="408" w:lineRule="exact"/>
        <w:ind w:left="0" w:right="0" w:firstLine="576"/>
        <w:jc w:val="left"/>
      </w:pPr>
      <w:r>
        <w:rPr/>
        <w:t xml:space="preserve">(20) The governing board shall submit progress reports to the appropriate committees of the legislature, in accordance with RCW 43.01.036.</w:t>
      </w:r>
    </w:p>
    <w:p>
      <w:pPr>
        <w:spacing w:before="0" w:after="0" w:line="408" w:lineRule="exact"/>
        <w:ind w:left="0" w:right="0" w:firstLine="576"/>
        <w:jc w:val="left"/>
      </w:pPr>
      <w:r>
        <w:rPr/>
        <w:t xml:space="preserve">(a) The first preliminary report is due December 1, 2025, and must include feedback to the legislature on the proposed timeline set forth under this chapter and progress on outreach initiatives and program implementation.</w:t>
      </w:r>
    </w:p>
    <w:p>
      <w:pPr>
        <w:spacing w:before="0" w:after="0" w:line="408" w:lineRule="exact"/>
        <w:ind w:left="0" w:right="0" w:firstLine="576"/>
        <w:jc w:val="left"/>
      </w:pPr>
      <w:r>
        <w:rPr/>
        <w:t xml:space="preserve">(b) The final report on program design and implementation recommendations is due December 1, 2026, and must include the following:</w:t>
      </w:r>
    </w:p>
    <w:p>
      <w:pPr>
        <w:spacing w:before="0" w:after="0" w:line="408" w:lineRule="exact"/>
        <w:ind w:left="0" w:right="0" w:firstLine="576"/>
        <w:jc w:val="left"/>
      </w:pPr>
      <w:r>
        <w:rPr/>
        <w:t xml:space="preserve">(i) A comprehensive summary of outreach activities conducted by the governing board to receive feedback on design elements and implementation for the program, including:</w:t>
      </w:r>
    </w:p>
    <w:p>
      <w:pPr>
        <w:spacing w:before="0" w:after="0" w:line="408" w:lineRule="exact"/>
        <w:ind w:left="0" w:right="0" w:firstLine="576"/>
        <w:jc w:val="left"/>
      </w:pPr>
      <w:r>
        <w:rPr/>
        <w:t xml:space="preserve">(A) Types of outreach conducted;</w:t>
      </w:r>
    </w:p>
    <w:p>
      <w:pPr>
        <w:spacing w:before="0" w:after="0" w:line="408" w:lineRule="exact"/>
        <w:ind w:left="0" w:right="0" w:firstLine="576"/>
        <w:jc w:val="left"/>
      </w:pPr>
      <w:r>
        <w:rPr/>
        <w:t xml:space="preserve">(B) Specific calendar dates and time frames in which outreach occurred;</w:t>
      </w:r>
    </w:p>
    <w:p>
      <w:pPr>
        <w:spacing w:before="0" w:after="0" w:line="408" w:lineRule="exact"/>
        <w:ind w:left="0" w:right="0" w:firstLine="576"/>
        <w:jc w:val="left"/>
      </w:pPr>
      <w:r>
        <w:rPr/>
        <w:t xml:space="preserve">(C) Covered employers and covered employees who were contacted;</w:t>
      </w:r>
    </w:p>
    <w:p>
      <w:pPr>
        <w:spacing w:before="0" w:after="0" w:line="408" w:lineRule="exact"/>
        <w:ind w:left="0" w:right="0" w:firstLine="576"/>
        <w:jc w:val="left"/>
      </w:pPr>
      <w:r>
        <w:rPr/>
        <w:t xml:space="preserve">(D) Subject matters discussed regarding the program and proposed program structure;</w:t>
      </w:r>
    </w:p>
    <w:p>
      <w:pPr>
        <w:spacing w:before="0" w:after="0" w:line="408" w:lineRule="exact"/>
        <w:ind w:left="0" w:right="0" w:firstLine="576"/>
        <w:jc w:val="left"/>
      </w:pPr>
      <w:r>
        <w:rPr/>
        <w:t xml:space="preserve">(E) The types of retirement account programs covered employers and covered employees preferred;</w:t>
      </w:r>
    </w:p>
    <w:p>
      <w:pPr>
        <w:spacing w:before="0" w:after="0" w:line="408" w:lineRule="exact"/>
        <w:ind w:left="0" w:right="0" w:firstLine="576"/>
        <w:jc w:val="left"/>
      </w:pPr>
      <w:r>
        <w:rPr/>
        <w:t xml:space="preserve">(F) Explanations of concerns received during the outreach activities and how those concerns were addressed;</w:t>
      </w:r>
    </w:p>
    <w:p>
      <w:pPr>
        <w:spacing w:before="0" w:after="0" w:line="408" w:lineRule="exact"/>
        <w:ind w:left="0" w:right="0" w:firstLine="576"/>
        <w:jc w:val="left"/>
      </w:pPr>
      <w:r>
        <w:rPr/>
        <w:t xml:space="preserve">(ii) Recommendations on whether the legislature should make changes to the program's structure or whether any statutory changes need to occur; and</w:t>
      </w:r>
    </w:p>
    <w:p>
      <w:pPr>
        <w:spacing w:before="0" w:after="0" w:line="408" w:lineRule="exact"/>
        <w:ind w:left="0" w:right="0" w:firstLine="576"/>
        <w:jc w:val="left"/>
      </w:pPr>
      <w:r>
        <w:rPr/>
        <w:t xml:space="preserve">(iii) Recommendations regarding the governing board structure, including who should chair the governing board and what entity should serve as the administrative agency that provides staff support to the governing board once the program is established and operational. The governing board shall consider a potential new agency, an existing state agency, or the office of a stand-alone statewide elected official for the administrative agency.</w:t>
      </w:r>
    </w:p>
    <w:p>
      <w:pPr>
        <w:spacing w:before="0" w:after="0" w:line="408" w:lineRule="exact"/>
        <w:ind w:left="0" w:right="0" w:firstLine="576"/>
        <w:jc w:val="left"/>
      </w:pPr>
      <w:r>
        <w:rPr/>
        <w:t xml:space="preserve">(c) Annual reports including program updates and program information must begin December 1, 2028, and include information on:</w:t>
      </w:r>
    </w:p>
    <w:p>
      <w:pPr>
        <w:spacing w:before="0" w:after="0" w:line="408" w:lineRule="exact"/>
        <w:ind w:left="0" w:right="0" w:firstLine="576"/>
        <w:jc w:val="left"/>
      </w:pPr>
      <w:r>
        <w:rPr/>
        <w:t xml:space="preserve">(i) Participation;</w:t>
      </w:r>
    </w:p>
    <w:p>
      <w:pPr>
        <w:spacing w:before="0" w:after="0" w:line="408" w:lineRule="exact"/>
        <w:ind w:left="0" w:right="0" w:firstLine="576"/>
        <w:jc w:val="left"/>
      </w:pPr>
      <w:r>
        <w:rPr/>
        <w:t xml:space="preserve">(ii) Account performance;</w:t>
      </w:r>
    </w:p>
    <w:p>
      <w:pPr>
        <w:spacing w:before="0" w:after="0" w:line="408" w:lineRule="exact"/>
        <w:ind w:left="0" w:right="0" w:firstLine="576"/>
        <w:jc w:val="left"/>
      </w:pPr>
      <w:r>
        <w:rPr/>
        <w:t xml:space="preserve">(iii) Board decisions; and</w:t>
      </w:r>
    </w:p>
    <w:p>
      <w:pPr>
        <w:spacing w:before="0" w:after="0" w:line="408" w:lineRule="exact"/>
        <w:ind w:left="0" w:right="0" w:firstLine="576"/>
        <w:jc w:val="left"/>
      </w:pPr>
      <w:r>
        <w:rPr/>
        <w:t xml:space="preserve">(iv) Any recommendations to the legislature regarding the program.</w:t>
      </w:r>
    </w:p>
    <w:p>
      <w:pPr>
        <w:spacing w:before="0" w:after="0" w:line="408" w:lineRule="exact"/>
        <w:ind w:left="0" w:right="0" w:firstLine="576"/>
        <w:jc w:val="left"/>
      </w:pPr>
      <w:r>
        <w:rPr/>
        <w:t xml:space="preserve">(21) The governing board may consult with the state investment board and the department of financial institutions regarding program design and implementation.</w:t>
      </w:r>
    </w:p>
    <w:p>
      <w:pPr>
        <w:spacing w:before="0" w:after="0" w:line="408" w:lineRule="exact"/>
        <w:ind w:left="0" w:right="0" w:firstLine="576"/>
        <w:jc w:val="left"/>
      </w:pPr>
      <w:r>
        <w:rPr/>
        <w:t xml:space="preserve">(22) The governing board shall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administrative agency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administrative agency or the governing board by a governmental agency is held private and confidential by state or federal law, the administrative agency and the governing board may not release such information, unless otherwise provided in this section.</w:t>
      </w:r>
    </w:p>
    <w:p>
      <w:pPr>
        <w:spacing w:before="0" w:after="0" w:line="408" w:lineRule="exact"/>
        <w:ind w:left="0" w:right="0" w:firstLine="576"/>
        <w:jc w:val="left"/>
      </w:pPr>
      <w:r>
        <w:rPr/>
        <w:t xml:space="preserve">(b) Information provided to the administrative agency or the governing board by a governmental entity conditioned upon privacy and confidentiality under a provision of law is to be held private and confidential according to the agreement between the administrative agency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administrative agency or the governing board under this section must request such disclosure from the governmental agency that provided the information to the administrative agency or the governing board, rather than from the administrative agency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administrative agency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administrative agency or the governing board may disclose information and records deemed confidential under this chapter to a third party acting on behalf of an individual or employer that would otherwise be eligible to receive records under this section when the administrative agency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administrative agency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administrative agency and the governing board.</w:t>
      </w:r>
    </w:p>
    <w:p>
      <w:pPr>
        <w:spacing w:before="0" w:after="0" w:line="408" w:lineRule="exact"/>
        <w:ind w:left="0" w:right="0" w:firstLine="576"/>
        <w:jc w:val="left"/>
      </w:pPr>
      <w:r>
        <w:rPr/>
        <w:t xml:space="preserve">(6)(a) A decision under this chapter by the administrative agency,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administrative agency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administrative agency immediately and must take all reasonable available actions to rectify the disclosure to the administrative agency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of up to $20,000 in the first year of the program. Beginning in December of the second year of the program and each December thereafter, the administrative agency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administrative agency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11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director of the administrative agency or the director's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16 of this act takes effect July 1, 2024.</w:t>
      </w:r>
    </w:p>
    <w:p>
      <w:pPr>
        <w:spacing w:before="0" w:after="0" w:line="408" w:lineRule="exact"/>
        <w:ind w:left="0" w:right="0" w:firstLine="576"/>
        <w:jc w:val="left"/>
      </w:pPr>
      <w:r>
        <w:rPr/>
        <w:t xml:space="preserve">(2) Section 17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b94d2e85891b4a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6afd3ba034afb" /><Relationship Type="http://schemas.openxmlformats.org/officeDocument/2006/relationships/footer" Target="/word/footer1.xml" Id="Rb94d2e85891b4a04" /></Relationships>
</file>