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34ac39dae043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6127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Health &amp; Long Term Care (originally sponsored by Senators Liias, Rivers, Muzzall, Randall, Frame, Hasegawa, Kuderer, Lovick, Nobles, and Pedersen)</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human immunodeficiency virus postexposure prophylaxis drugs or therapies; amending RCW 70.41.480; reenacting and amending RCW 41.05.017; adding a new section to chapter 70.41 RCW; adding a new section to chapter 48.43 RCW; adding a new section to chapter 74.09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or deliver as defined in RCW 18.64.011 to a patient, with a patient's informed consent, a 28-day supply of human immunodeficiency virus postexposure prophylaxis drugs or therapies following the patient's possible exposure to human immunodeficiency virus, unless medically contraindicated, inconsistent with accepted standards of care, or inconsistent with centers for disease control and prevention guidelines. When available, hospitals shall dispense or deliver generic human immunodeficiency virus postexposure prophylaxis drugs or therapies.</w:t>
      </w:r>
    </w:p>
    <w:p>
      <w:pPr>
        <w:spacing w:before="0" w:after="0" w:line="408" w:lineRule="exact"/>
        <w:ind w:left="0" w:right="0" w:firstLine="576"/>
        <w:jc w:val="left"/>
      </w:pPr>
      <w:r>
        <w:rPr/>
        <w:t xml:space="preserve">(3) Nothing in this section shall be construed to alter the coverage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or delivered to sexual assault victims; or </w:t>
      </w:r>
    </w:p>
    <w:p>
      <w:pPr>
        <w:spacing w:before="0" w:after="0" w:line="408" w:lineRule="exact"/>
        <w:ind w:left="0" w:right="0" w:firstLine="576"/>
        <w:jc w:val="left"/>
      </w:pPr>
      <w:r>
        <w:rPr/>
        <w:t xml:space="preserve">(b) The industrial insurance act for drugs dispensed or delivered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0" w:after="0" w:line="408" w:lineRule="exact"/>
        <w:ind w:left="0" w:right="0" w:firstLine="576"/>
        <w:jc w:val="left"/>
      </w:pPr>
      <w:r>
        <w:rPr/>
        <w:t xml:space="preserve">(3) Notwithstanding the coverage requirements of this section, a health plan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and 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Notwithstanding the coverage requirements of this section, the authority or a medicaid contracted managed care organization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38a17c6a2668459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7296948e9646a9" /><Relationship Type="http://schemas.openxmlformats.org/officeDocument/2006/relationships/footer" Target="/word/footer1.xml" Id="R38a17c6a26684591" /></Relationships>
</file>