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64660650545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6140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Braun, and Kuderer)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w:t>
      </w:r>
      <w:r>
        <w:rPr>
          <w:u w:val="single"/>
        </w:rPr>
        <w:t xml:space="preserve">, unless the retail space is for an essential rural retail service and the designated limited area is located at least 10 miles from an existing urban growth area, then the retail space must not exceed the footprint of the previously occupied space or 10,000 square feet, whichever is greater</w:t>
      </w:r>
      <w:r>
        <w:rPr/>
        <w:t xml:space="preserve">; and</w:t>
      </w:r>
    </w:p>
    <w:p>
      <w:pPr>
        <w:spacing w:before="0" w:after="0" w:line="408" w:lineRule="exact"/>
        <w:ind w:left="0" w:right="0" w:firstLine="576"/>
        <w:jc w:val="left"/>
      </w:pPr>
      <w:r>
        <w:rPr/>
        <w:t xml:space="preserve">(II) Any included retail or food service space must not exceed 2,500 square feet for a new use</w:t>
      </w:r>
      <w:r>
        <w:rPr>
          <w:u w:val="single"/>
        </w:rPr>
        <w:t xml:space="preserve">, unless the new retail space is for an essential rural retail service and the designated limited area is located at least 10 miles from an existing urban growth area, then the new retail space must not exceed 10,000 square feet</w:t>
      </w:r>
      <w:r>
        <w:rPr/>
        <w:t xml:space="preserve">;</w:t>
      </w:r>
    </w:p>
    <w:p>
      <w:pPr>
        <w:spacing w:before="0" w:after="0" w:line="408" w:lineRule="exact"/>
        <w:ind w:left="0" w:right="0" w:firstLine="576"/>
        <w:jc w:val="left"/>
      </w:pPr>
      <w:r>
        <w:rPr>
          <w:u w:val="single"/>
        </w:rPr>
        <w:t xml:space="preserve">For the purposes of this subsection (5)(d), "essential rural retail services" means services including grocery, pharmacy, hardware, automotive parts, and similar uses that sell or provide products necessary for health and safety, such as food, medication, sanitation supplies, and products to maintain habitability and mobility.</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4de2a74831464f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b86c6dd3d4a44" /><Relationship Type="http://schemas.openxmlformats.org/officeDocument/2006/relationships/footer" Target="/word/footer1.xml" Id="R4de2a74831464f09" /></Relationships>
</file>