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09d1bc3e041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6228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84</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6228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Hasegawa, Kuderer, Lovelett, Nobles, Randall, Shewmake,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of substance use disorders; amending RCW 71.24.037, 41.05.526, 48.43.761, 71.24.618, 43.70.250, 41.05.527, 48.43.762, and 42.56.360; adding new sections to chapter 71.24 RCW; adding a new section to chapter 28B.20 RCW; adding a new section to chapter 41.05 RCW; adding a new section to chapter 48.43 RCW; adding a new section to chapter 71.05 RCW;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 Behavioral health agencies that do not maintain such policies must provide an attestation to this effect.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0" w:after="0" w:line="408" w:lineRule="exact"/>
        <w:ind w:left="0" w:right="0" w:firstLine="576"/>
        <w:jc w:val="left"/>
      </w:pPr>
      <w:r>
        <w:rPr/>
        <w:t xml:space="preserve">(4) This section does not apply to hospitals licensed under chapter 70.41 RCW and psychiatric hospitals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and medical providers when discussing medication treatment options for patients with alcohol use disorder. The institute shall distribute the tool to behavioral health and medical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Providers may use the patient shared decision-making tools for opioid use disorder and alcohol use disorder developed by the addictions, drug, and alcohol institute at the University of Washington. If the patient elects a clinically appropriate pharmacological treatment option, the behavioral health agency shall support the patient with the implementation of the pharmacological treatment either by direct provision of the medication or by a warm handoff referral, if the treating provider is unable to directly provide the medication.</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0" w:after="0" w:line="408" w:lineRule="exact"/>
        <w:ind w:left="0" w:right="0" w:firstLine="576"/>
        <w:jc w:val="left"/>
      </w:pPr>
      <w:r>
        <w:rPr>
          <w:u w:val="single"/>
        </w:rPr>
        <w:t xml:space="preserve">(d) This subsection does not apply to licensed behavioral health agencies that are units within a hospital licensed under chapter 70.41 RCW or a psychiatric hospital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engage in individualized, patient-centered, shared decision making, using nonjudgmental and compassionate communication and, with the consent of the patient, make a good faith effort to consult the prescribing health care provider.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Beginning January 1, 2025, if a managed care organization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 Nothing prohibits a managed care organization from requesting information to assist with a seamless transfer under this subsection</w:t>
      </w:r>
      <w:r>
        <w:rPr>
          <w:u w:val="single"/>
        </w:rPr>
        <w:t xml:space="preserve">.</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hospitalization, or inpatient treatment,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collaboration with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health care authority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provide a gap analysis of nonemergency transportation benefits provided to medicaid enrollees in Washington, Oregon, and other comparison states selected by the health care authority and provide an analysis of the costs and benefits of available alternatives to the governor and appropriate committees of the legislature by December 1, 2024, including the option of an enhanced nonemergency transportation benefit for persons being discharged from a behavioral health emergency services provider to the next level of care in circumstances when a prudent layperson acting reasonably would believe such transportation is necessary to protect the enrollee from relapse or other discontinuity in care that would jeopardize the health or safety of the enrollee. In recognizing that some behavioral health patients are not well-served by the current nonemergency transportation system for medical assistance patients due to inflexible rules, the authority shall also evaluate the possibility of creating a network of peer-led, trauma-informed transportation providers that could provide nonemergency transportation to youth and adult medical assistance patients traveling to receive behavioral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amounts appropriated for this specific purpose,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must contract with an association that represents designated crisis responders in Washington to develop and begin delivering by July 1, 2025, a training program for social workers licensed under chapter 18.225 RCW who practice in an emergency department with responsibilities related to civil commitments under this chapter. The training must include instruction emphasizing standards and procedures relating to the civil commitment of persons with substance use disorders and mental illness, including which clinical presentations warrant summoning a designated crisis responder. The training must emphasize the manner in which a patient with a primary substance use disorder may present as a risk of harm to self or others, or gravely disabled. Each hospital shall ensure that, by July 1, 2026, or within three months of hire, all social workers employed in the emergency department with responsibilities relating to civil commitments under this chapter complete the training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527</w:t>
      </w:r>
      <w:r>
        <w:rPr/>
        <w:t xml:space="preserve"> and 2021 c 273 s 10 are each amended to read as follows:</w:t>
      </w:r>
    </w:p>
    <w:p>
      <w:pPr>
        <w:spacing w:before="0" w:after="0" w:line="408" w:lineRule="exact"/>
        <w:ind w:left="0" w:right="0" w:firstLine="576"/>
        <w:jc w:val="left"/>
      </w:pPr>
      <w:r>
        <w:rPr>
          <w:u w:val="single"/>
        </w:rPr>
        <w:t xml:space="preserve">(1)</w:t>
      </w:r>
      <w:r>
        <w:rPr/>
        <w:t xml:space="preserve"> A health plan offered to public employees and their covered dependents under this chapter that is issued or renewed on or after January 1, 2023, must participate in the bulk purchasing and distribution program for opioid overdose reversal medication established in RCW 70.14.170 once the program is operational.</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 for the following outpatient services: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outpatient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762</w:t>
      </w:r>
      <w:r>
        <w:rPr/>
        <w:t xml:space="preserve"> and 2021 c 273 s 11 are each amended to read as follows:</w:t>
      </w:r>
    </w:p>
    <w:p>
      <w:pPr>
        <w:spacing w:before="0" w:after="0" w:line="408" w:lineRule="exact"/>
        <w:ind w:left="0" w:right="0" w:firstLine="576"/>
        <w:jc w:val="left"/>
      </w:pPr>
      <w:r>
        <w:rPr>
          <w:u w:val="single"/>
        </w:rPr>
        <w:t xml:space="preserve">(1)</w:t>
      </w:r>
      <w:r>
        <w:rPr/>
        <w:t xml:space="preserve"> For health plans issued or renewed on or after January 1, 2023, health carriers must participate in the opioid overdose reversal medication bulk purchasing and distribution program established in RCW 70.14.170 once the program is operational. A health plan may not impose enrollee cost sharing related to opioid overdose reversal medication provided through the bulk purchasing and distribution program established in RCW 70.14.170.</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 for the following outpatient services: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outpatient hospital 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establish appropriate billing codes for hospitals and psychiatric hospitals that administer long-acting injectable buprenorphine on an outpatient basis to use for billing patients enrolled in a medical assistance program.</w:t>
      </w:r>
    </w:p>
    <w:p>
      <w:pPr>
        <w:spacing w:before="0" w:after="0" w:line="408" w:lineRule="exact"/>
        <w:ind w:left="0" w:right="0" w:firstLine="576"/>
        <w:jc w:val="left"/>
      </w:pPr>
      <w:r>
        <w:rPr/>
        <w:t xml:space="preserve">(2) Upon initiation or renewal of a contract with the authority to administer a medicaid managed care plan, a managed care organization must reimburse a hospital or psychiatric hospital that bills for the administration of long-acting injectable buprenorphine on an outpatient basis as a separate reimbursable expense.</w:t>
      </w:r>
    </w:p>
    <w:p>
      <w:pPr>
        <w:spacing w:before="0" w:after="0" w:line="408" w:lineRule="exact"/>
        <w:ind w:left="0" w:right="0" w:firstLine="576"/>
        <w:jc w:val="left"/>
      </w:pPr>
      <w:r>
        <w:rPr/>
        <w:t xml:space="preserve">(3) Beginning January 1, 2025, for individuals enrolled in a medical assistance program that is not a medicaid managed care plan, the authority must reimburse a hospital or psychiatric hospital that bills for the administration of long-acting injectable buprenorphine on an outpatient basis administered as a separate reimbursable expense.</w:t>
      </w:r>
    </w:p>
    <w:p>
      <w:pPr>
        <w:spacing w:before="0" w:after="0" w:line="408" w:lineRule="exact"/>
        <w:ind w:left="0" w:right="0" w:firstLine="576"/>
        <w:jc w:val="left"/>
      </w:pPr>
      <w:r>
        <w:rPr/>
        <w:t xml:space="preserve">(4) Reimbursements provided under this section must be separate from any bundled payment for outpatient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60fc3a4e4f64f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397ede2bdb4956" /><Relationship Type="http://schemas.openxmlformats.org/officeDocument/2006/relationships/footer" Target="/word/footer1.xml" Id="Rc60fc3a4e4f64f9d" /></Relationships>
</file>