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00d44435743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1017</w:t>
      </w:r>
    </w:p>
    <w:p>
      <w:pPr>
        <w:jc w:val="center"/>
        <w:spacing w:before="480" w:after="0" w:line="240"/>
      </w:pPr>
      <w:r>
        <w:t xml:space="preserve">Chapter </w:t>
      </w:r>
      <w:r>
        <w:rPr/>
        <w:t xml:space="preserve">55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COSMETOLOGISTS, HAIR DESIGNERS, BARBERS, MANICURISTS, AND ESTHETICIANS—EXAMINATIONS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Ryu, Leavitt, Chambers, Simmons, Jacobsen, Reed, Graham, Lekanoff, Caldier, Timmons, Reeves, Tharinger, Springer, Thai, Santos, and Riccelli</w:t>
      </w:r>
    </w:p>
    <w:p/>
    <w:p>
      <w:r>
        <w:rPr>
          <w:t xml:space="preserve">Prefiled 12/07/22.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licensure for cosmetologists, hair designers, barbers, manicurists, and estheticians; and amending RCW 18.16.090.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2003 c 400 s 4 are each amended to read as follows:</w:t>
      </w:r>
    </w:p>
    <w:p>
      <w:pPr>
        <w:spacing w:before="0" w:after="0" w:line="408" w:lineRule="exact"/>
        <w:ind w:left="0" w:right="0" w:firstLine="576"/>
        <w:jc w:val="left"/>
      </w:pPr>
      <w:r>
        <w:rPr/>
        <w:t xml:space="preserve">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 </w:t>
      </w:r>
    </w:p>
    <w:p>
      <w:pPr>
        <w:spacing w:before="0" w:after="0" w:line="408" w:lineRule="exact"/>
        <w:ind w:left="0" w:right="0" w:firstLine="576"/>
        <w:jc w:val="left"/>
      </w:pPr>
      <w:r>
        <w:rPr/>
        <w:t xml:space="preserve">The director shall take steps to ensure that after completion of the required course or apprenticeship program, applicants may promptly take the examination and receive the results of the examination. </w:t>
      </w:r>
      <w:r>
        <w:rPr>
          <w:u w:val="single"/>
        </w:rPr>
        <w:t xml:space="preserve">The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c590b1bf5855404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e6d8807ef4cf3" /><Relationship Type="http://schemas.openxmlformats.org/officeDocument/2006/relationships/footer" Target="/word/footer1.xml" Id="Rc590b1bf5855404b" /></Relationships>
</file>