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28809747245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1039</w:t>
      </w:r>
    </w:p>
    <w:p>
      <w:pPr>
        <w:jc w:val="center"/>
        <w:spacing w:before="480" w:after="0" w:line="240"/>
      </w:pPr>
      <w:r>
        <w:t xml:space="preserve">Chapter </w:t>
      </w:r>
      <w:r>
        <w:rPr/>
        <w:t xml:space="preserve">198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PHYSICAL THERAPISTS—INTRAMUSCULAR NEEDLING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Harris, Corry, Duerr, Riccelli, Chambers, Goodman, Reed, Fitzgibbon, Pollet, Ryu, Paul, Thai, Springer, Stonier, Kloba, Santos, and Ormsby)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myofascial trigger points and connective and muscular tissues for the evaluation and management of neuromusculoskeletal pain and movement impairments. Intramuscular needling requires an examination and diagnosis. Intramuscular needling does not include needle retention without stimulation or the stimulation of auricular and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325 hours of instruction and clinical experience that meet or exceed the following criteria:</w:t>
      </w:r>
    </w:p>
    <w:p>
      <w:pPr>
        <w:spacing w:before="0" w:after="0" w:line="408" w:lineRule="exact"/>
        <w:ind w:left="0" w:right="0" w:firstLine="576"/>
        <w:jc w:val="left"/>
      </w:pPr>
      <w:r>
        <w:rPr/>
        <w:t xml:space="preserve">(a) A total of 100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150 hours of at least 150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an osteopathic physician licensed under chapter 18.57 RCW; a licensed naturopath under chapter 18.36A RCW; a licensed acupuncture and Eastern medicine practitioner under chapter 18.06 RCW; or a licensed advanced registered nurse practitioner under chapter 18.79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100 hours of didactic instruction and 75 hours of in-person intramuscular needling instruction, a physical therapist seeking endorsement has up to 18 months to complete a minimum of 150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100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acupuncturist or acupuncture and Eastern medicine practitioner for the same diagnosis, the physical therapist shall make reasonable efforts to coordinate patient care with the acupuncturist or acupuncture and Eastern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Pr>
        <w:spacing w:before="0" w:after="0" w:line="408" w:lineRule="exact"/>
        <w:ind w:left="0" w:right="0" w:firstLine="576"/>
        <w:jc w:val="left"/>
      </w:pPr>
      <w:r>
        <w:rPr/>
        <w:t xml:space="preserve">(8) Intramuscular needling may not be administered as a stand-alone treatment within a physical therapy care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37c23d08a3384e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a8801e87c4934" /><Relationship Type="http://schemas.openxmlformats.org/officeDocument/2006/relationships/footer" Target="/word/footer1.xml" Id="R37c23d08a3384e84" /></Relationships>
</file>