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377543ffb140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1042</w:t>
      </w:r>
    </w:p>
    <w:p>
      <w:pPr>
        <w:jc w:val="center"/>
        <w:spacing w:before="480" w:after="0" w:line="240"/>
      </w:pPr>
      <w:r>
        <w:t xml:space="preserve">Chapter </w:t>
      </w:r>
      <w:r>
        <w:rPr/>
        <w:t xml:space="preserve">285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USE OF EXISTING BUILDINGS FOR RESIDENTIAL PURPOSES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45</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Housing (originally sponsored by Representatives Walen, Ryu, Barkis, Simmons, Duerr, Goodman, Bateman, Reed, Ramel, Peterson, Pollet, Doglio, Macri, Reeves, Mena, Tharinger, Wylie, Gregerson, Springer, Bergquist, Thai, Kloba, Santos, and Ormsby)</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additional housing units in existing buildings; amending RCW 43.21C.450; adding a new section to chapter 35A.21 RCW; adding a new section to chapter 35.21 RCW; and adding a new section to chapter 19.27A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Code cities must adopt or amend by ordinance, and incorporate into their development regulations, zoning regulations, and other official controls the requirements of subsection (2) of this section for buildings that are zoned for commercial or mixed use no later than six months after its next periodic comprehensive plan update required under RCW 36.70A.130.</w:t>
      </w:r>
    </w:p>
    <w:p>
      <w:pPr>
        <w:spacing w:before="0" w:after="0" w:line="408" w:lineRule="exact"/>
        <w:ind w:left="0" w:right="0" w:firstLine="576"/>
        <w:jc w:val="left"/>
      </w:pPr>
      <w:r>
        <w:rPr/>
        <w:t xml:space="preserve">(b) The requirements of subsection (2) of this section apply and take effect in any code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code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to satisfy existing residential parking requirements under local laws and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or to preserve character-defining streetscapes,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except ground floor commercial or retail that is along a major pedestrian corridor as defined by the code city,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any portion of an existing building is converted to new dwelling units,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within an existing building due to nonconformity regarding parking, height, setbacks, elevator size for gurney transport, or modulation, unless the code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code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Cities must adopt or amend by ordinance, and incorporate into their development regulations, zoning regulations, and other official controls the requirements of subsection (2) of this section for buildings that are zoned for commercial or mixed use no later than six months after its next periodic comprehensive plan update required under RCW 36.70A.130.</w:t>
      </w:r>
    </w:p>
    <w:p>
      <w:pPr>
        <w:spacing w:before="0" w:after="0" w:line="408" w:lineRule="exact"/>
        <w:ind w:left="0" w:right="0" w:firstLine="576"/>
        <w:jc w:val="left"/>
      </w:pPr>
      <w:r>
        <w:rPr/>
        <w:t xml:space="preserve">(b) The requirements of subsection (2) of this section apply and take effect in any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to satisfy existing residential parking requirements under local laws and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or to preserve character-defining streetscapes,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except ground floor commercial or retail that is along a major pedestrian corridor as defined by each city,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any portion of an existing building is converted to new dwelling units,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within an existing building due to nonconformity regarding parking, height, setbacks, elevator size for gurney transport, or modulation, unless the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By January 1, 2024, the state building code council shall adopt by rule an amendment to the current energy code that waives the requirement for unchanged portions of an existing building used for residential purposes to meet the current energy code solely because of the addition of new dwelling units within the building. New dwelling units created within the existing building must meet the requirements of the current energy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Adoption or amendment of ordinances, development regulations, zoning regulations, and other official controls necessary to comply with sections 1 and 2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eae2e41c181e48b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cbca4116eb4dfb" /><Relationship Type="http://schemas.openxmlformats.org/officeDocument/2006/relationships/footer" Target="/word/footer1.xml" Id="Reae2e41c181e48b8" /></Relationships>
</file>