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7ae48ed034f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1074</w:t>
      </w:r>
    </w:p>
    <w:p>
      <w:pPr>
        <w:jc w:val="center"/>
        <w:spacing w:before="480" w:after="0" w:line="240"/>
      </w:pPr>
      <w:r>
        <w:t xml:space="preserve">Chapter </w:t>
      </w:r>
      <w:r>
        <w:rPr/>
        <w:t xml:space="preserve">331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RESIDENTIAL LANDLORD-TENANT ACT—LANDLORDS' CLAIMS FOR DAMAGE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Thai, Macri, Simmons, Ryu, Ramel, Peterson, Lekanoff, Alvarado, Pollet, Cortes, Gregerson, Kloba, Davis,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59.18.130, and 59.18.595;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Deposits and moving fees often present significant barriers to helping low-income tenants secure new housing. Without clear guidance governing when landlords may withhold a security deposit for damage to a unit, renters are often unable to contest improper charges and fall into debt to their landlords; </w:t>
      </w:r>
    </w:p>
    <w:p>
      <w:pPr>
        <w:spacing w:before="0" w:after="0" w:line="408" w:lineRule="exact"/>
        <w:ind w:left="0" w:right="0" w:firstLine="576"/>
        <w:jc w:val="left"/>
      </w:pPr>
      <w:r>
        <w:rPr/>
        <w:t xml:space="preserve">(b) Low-income renters holding unpaid tenant debt face greater housing instability. Low-income renters can be barred from entering into new tenancies by debt to a previous landlord, even if that debt is based on undocumented, inflated, or fraudulent charges; and </w:t>
      </w:r>
    </w:p>
    <w:p>
      <w:pPr>
        <w:spacing w:before="0" w:after="0" w:line="408" w:lineRule="exact"/>
        <w:ind w:left="0" w:right="0" w:firstLine="576"/>
        <w:jc w:val="left"/>
      </w:pPr>
      <w:r>
        <w:rPr/>
        <w:t xml:space="preserve">(c) The burden of debt to a previous landlord falls most heavily on low-income renters, people with disabilities, single parents, and people with housing vouchers, who are disproportionately people of color.</w:t>
      </w:r>
    </w:p>
    <w:p>
      <w:pPr>
        <w:spacing w:before="0" w:after="0" w:line="408" w:lineRule="exact"/>
        <w:ind w:left="0" w:right="0" w:firstLine="576"/>
        <w:jc w:val="left"/>
      </w:pPr>
      <w:r>
        <w:rPr/>
        <w:t xml:space="preserve">(2) Therefore, the legislature intends to protect renters from the financial instability caused by improper and inflated damage charges that prevent tenants from receiving their deposit back, to ease the debt burden on renting families, and to reduce the disproportionate harm to low-income renters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(39)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2022 c 196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30</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30</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w:t>
      </w:r>
    </w:p>
    <w:p>
      <w:pPr>
        <w:spacing w:before="0" w:after="0" w:line="408" w:lineRule="exact"/>
        <w:ind w:left="0" w:right="0" w:firstLine="576"/>
        <w:jc w:val="left"/>
      </w:pP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30</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30</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30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w:t>
      </w:r>
      <w:r>
        <w:rPr>
          <w:u w:val="single"/>
        </w:rPr>
        <w:t xml:space="preserve">(a)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0" w:after="0" w:line="408" w:lineRule="exact"/>
        <w:ind w:left="0" w:right="0" w:firstLine="576"/>
        <w:jc w:val="left"/>
      </w:pPr>
      <w:r>
        <w:rPr>
          <w:u w:val="single"/>
        </w:rPr>
        <w:t xml:space="preserve">(b) Damages for wear resulting from ordinary use of the premises or not substantiated by documentation equivalent to that required in subsection (1) of this section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For tenancies with rental agreements initiated on or after the effective date of this section, any lawsuit filed against a tenant to recover sums exceeding the amount of the deposit shall be commenced within three years of the termination of the rental agreement or the tenant's abandonment of the premises.</w:t>
      </w:r>
    </w:p>
    <w:p>
      <w:pPr>
        <w:spacing w:before="0" w:after="0" w:line="408" w:lineRule="exact"/>
        <w:ind w:left="0" w:right="0" w:firstLine="576"/>
        <w:jc w:val="left"/>
      </w:pPr>
      <w:r>
        <w:rPr>
          <w:u w:val="single"/>
        </w:rPr>
        <w:t xml:space="preserve">(4)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1023a40217ef44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1bc5e14a04f4b" /><Relationship Type="http://schemas.openxmlformats.org/officeDocument/2006/relationships/footer" Target="/word/footer1.xml" Id="R1023a40217ef440d" /></Relationships>
</file>