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4d81d1e5541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1117</w:t>
      </w:r>
    </w:p>
    <w:p>
      <w:pPr>
        <w:jc w:val="center"/>
        <w:spacing w:before="480" w:after="0" w:line="240"/>
      </w:pPr>
      <w:r>
        <w:t xml:space="preserve">Chapter </w:t>
      </w:r>
      <w:r>
        <w:rPr/>
        <w:t xml:space="preserve">200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POWER SUPPLY ADEQUACY—ENERGY RESOURCE ADEQUACY STAKEHOLDER MEETINGS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Leavitt, Schmidt, Christian, and Walsh)</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 turbines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population changes,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w:t>
      </w:r>
      <w:r>
        <w:rPr>
          <w:u w:val="single"/>
        </w:rPr>
        <w:t xml:space="preserve">energy analytics experts at Pacific Northwest national laboratory,</w:t>
      </w:r>
      <w:r>
        <w:rPr/>
        <w:t xml:space="preserve">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2023, the meeting convened by the department and the commission pursuant to subsection (1) of this section must address strategies to ensure power supply adequacy to avoid the risk of rolling blackouts. The meeting must also focus discussion on the extent to which proposed laws and regulations may require new state policy for resource adequacy. The stakeholder meeting should seek to identify regulatory and statutory incentives to enhance and ensure resource adequacy and reliability. If regional energy analytics capability is established at Pacific Northwest national laboratory, the department and the commission must invite the Pacific Northwest national laboratory to the meeting to provide relevant analytics to inform the discussion.</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2031</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d9849fbb2ac44c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6be61fb854c26" /><Relationship Type="http://schemas.openxmlformats.org/officeDocument/2006/relationships/footer" Target="/word/footer1.xml" Id="Rd9849fbb2ac44c6d" /></Relationships>
</file>