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383e612c648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1173</w:t>
      </w:r>
    </w:p>
    <w:p>
      <w:pPr>
        <w:jc w:val="center"/>
        <w:spacing w:before="480" w:after="0" w:line="240"/>
      </w:pPr>
      <w:r>
        <w:t xml:space="preserve">Chapter </w:t>
      </w:r>
      <w:r>
        <w:rPr/>
        <w:t xml:space="preserve">344</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WIND ENERGY FACILITIES—LIGHT POLLUTION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10:40 AM with the exception of sections 3 and 9,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Connors, Klicker, and Rude)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light pollution associated with certain energy infrastructure; amending RCW 43.21B.110; adding a new section to chapter 36.01 RCW; adding a new section to chapter 43.21C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b/>
        </w:rPr>
        <w:t xml:space="preserve"> </w:t>
      </w:r>
      <w:r>
        <w:rPr/>
        <w:t xml:space="preserve">"Department"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"Light-mitigating technology system" means aircraft detection lighting or another federal aviation administration-approved system capable of reducing the impact of aviation obstruction lighting while maintaining conspicuity sufficient to assist aircraft in identifying and avoiding collision with a utility-scale wind energy facility.</w:t>
      </w:r>
    </w:p>
    <w:p>
      <w:pPr>
        <w:spacing w:before="0" w:after="0" w:line="408" w:lineRule="exact"/>
        <w:ind w:left="0" w:right="0" w:firstLine="576"/>
        <w:jc w:val="left"/>
      </w:pPr>
      <w:r>
        <w:rPr/>
        <w:t xml:space="preserve">(5) "Repowering" means a rebuild or refurbishment of a turbine or facility that is required due to the turbine or facility reaching the end of its useful life or useful reasonable economic life. The rebuild or refurbishment does not constitute repowering if it is part of routine major maintenance or the maintenance of or replacement of equipment that does not materially affect the expected physical or economical life of the turbine or facility.</w:t>
      </w:r>
    </w:p>
    <w:p>
      <w:pPr>
        <w:spacing w:before="0" w:after="0" w:line="408" w:lineRule="exact"/>
        <w:ind w:left="0" w:right="0" w:firstLine="576"/>
        <w:jc w:val="left"/>
      </w:pPr>
      <w:r>
        <w:rPr/>
        <w:t xml:space="preserve">(6)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beginning July 1, 2023, no new utility-scale wind energy facility with five or more turbines shall commence operations unless the developer, owner, or operator of the facility applies to the federal aviation administration for installation of a light-mitigating technology system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after receipt of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(2) Except as provided in section 3 of this act, beginning January 1, 2028, or upon the completion of repowering, whichever is earlier, any developer, owner, or operator of a utility-scale wind energy facility with five or more turbines that has commenced operations without an aircraft detection lighting system shall apply to the federal aviation administration for installation and operation of a light-mitigating technology system that achieves comparable light mitigation outcomes to an aircraft detection lighting system and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following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(3) A developer, owner, or operator of a utility-scale wind energy facility shall comply with any wind energy ordinance adopted by a legislative authority of a county pursuant to section 3 of this act.</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 or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legislative authority of any county may adopt a wind energy ordinance that includes specifications for aviation obstruction light-mitigating technology systems. In adopting an ordinance under this section, the county legislative authority shall consider whether affected wind energy facilities have caused, or will cause, light impacts requiring mitigation. Additional criteria related to the selection of light-mitigating technology systems may include the costs associated with the installation of such a system, the economic impact to a developer, owner, or operator of the installation of such a system, conditions under which light mitigation is required, and the type of system that best serves the public interest of the county. Nothing in this section authorizes a county to deny a permit application </w:t>
      </w:r>
      <w:r>
        <w:rPr/>
        <w:t xml:space="preserve">for a wind energy facility where the use of a light-mitigating technology system is not allowed by the federal aviation administration, United States department of defense, or if it is determined by the county to be impracticable.</w:t>
      </w:r>
    </w:p>
    <w:p>
      <w:pPr>
        <w:spacing w:before="0" w:after="0" w:line="408" w:lineRule="exact"/>
        <w:ind w:left="0" w:right="0" w:firstLine="576"/>
        <w:jc w:val="left"/>
      </w:pPr>
      <w:r>
        <w:rPr/>
        <w:t xml:space="preserve">(2) The definitions in section 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light-mitigating technology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(3) A utility-scale wind energy facility owner or operator of a facility that has commenced operations prior to January 1, 2023, that applies for the approval of a light-mitigating technology system to the federal aviation administration prior to January 1, 2027, but that has not received a determination to approve the system by the federal aviation administration as of July 1, 2027, may not be assessed a penalty under this chapter until at least 24 months after the federal aviation administration issues its determination on the application of the utility-scale wind energy facility's proposed light-mitigating technology system.</w:t>
      </w:r>
    </w:p>
    <w:p>
      <w:pPr>
        <w:spacing w:before="0" w:after="0" w:line="408" w:lineRule="exact"/>
        <w:ind w:left="0" w:right="0" w:firstLine="576"/>
        <w:jc w:val="left"/>
      </w:pPr>
      <w:r>
        <w:rPr/>
        <w:t xml:space="preserve">(4) The department may adopt by rule a light mitigation standard that references a more recent version of any federal requirements referenced in section 2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9, 2023, with the exception of certain items that were vetoed.</w:t>
      </w:r>
    </w:p>
    <w:p>
      <w:pPr>
        <w:spacing w:before="0" w:after="0" w:line="408" w:lineRule="exact"/>
        <w:ind w:left="0" w:right="0" w:firstLine="576"/>
        <w:jc w:val="left"/>
      </w:pPr>
      <w:r>
        <w:rPr/>
        <w:t xml:space="preserve">Filed in Office of Secretary of State May 10,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3 and 9, Engrossed Substitute House Bill No. 1173 entitled:</w:t>
      </w:r>
    </w:p>
    <w:p>
      <w:pPr>
        <w:spacing w:before="120" w:after="0" w:line="408" w:lineRule="exact"/>
        <w:ind w:left="0" w:right="0" w:firstLine="576"/>
        <w:jc w:val="left"/>
      </w:pPr>
      <w:r>
        <w:rPr/>
        <w:t xml:space="preserve">"AN ACT Relating to reducing light pollution associated with certain energy infrastructure."</w:t>
      </w:r>
    </w:p>
    <w:p>
      <w:pPr>
        <w:spacing w:before="120" w:after="0" w:line="408" w:lineRule="exact"/>
        <w:ind w:left="0" w:right="0" w:firstLine="0"/>
        <w:jc w:val="left"/>
      </w:pPr>
      <w:r>
        <w:rPr/>
        <w:t xml:space="preserve">This bill generally provides clear requirements for installation of FAA-approved light-mitigation systems on both existing and new wind energy facilities. However, Section 3 adds a confusing layer of direction for local governments by stating that they may adopt ordinances that may include specifications for light-mitigating systems. The provision is confusing because it states such ordinances may contain criteria including "conditions under which light mitigation is required", but the underlying bill makes clear that all wind energy facilities require light mitigation. Additionally, such ordinances could dictate which particular light mitigation system a facility-operator must use and could create a patchwork of different requirements that vary by jurisdiction. The bill delivers clearer and more consistent light-mitigation benefits for communities without Section 3.</w:t>
      </w:r>
    </w:p>
    <w:p>
      <w:pPr>
        <w:spacing w:before="120" w:after="0" w:line="408" w:lineRule="exact"/>
        <w:ind w:left="0" w:right="0" w:firstLine="0"/>
        <w:jc w:val="left"/>
      </w:pPr>
      <w:r>
        <w:rPr/>
        <w:t xml:space="preserve">Section 9 is an emergency clause. However, the requirements of this bill are not "necessary for the immediate preservation of the public peace, health, or safety, or support of the state government and its existing public institutions".</w:t>
      </w:r>
    </w:p>
    <w:p>
      <w:pPr>
        <w:spacing w:before="120" w:after="0" w:line="408" w:lineRule="exact"/>
        <w:ind w:left="0" w:right="0" w:firstLine="0"/>
        <w:jc w:val="left"/>
      </w:pPr>
      <w:r>
        <w:rPr/>
        <w:t xml:space="preserve">For these reasons I have vetoed Sections 3 and 9 of Engrossed Substitute House Bill No. 1173.</w:t>
      </w:r>
    </w:p>
    <w:p>
      <w:pPr>
        <w:spacing w:before="120" w:after="0" w:line="408" w:lineRule="exact"/>
        <w:ind w:left="0" w:right="0" w:firstLine="0"/>
        <w:jc w:val="left"/>
      </w:pPr>
      <w:r>
        <w:rPr/>
        <w:t xml:space="preserve">With the exception of Sections 3 and 9, Engrossed Substitute House Bill No. 1173 is approved."</w:t>
      </w:r>
    </w:p>
    <w:sectPr>
      <w:pgNumType w:start="1"/>
      <w:footerReference xmlns:r="http://schemas.openxmlformats.org/officeDocument/2006/relationships" r:id="Rb3ed80fa7c704d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e5aa7b26140cd" /><Relationship Type="http://schemas.openxmlformats.org/officeDocument/2006/relationships/footer" Target="/word/footer1.xml" Id="Rb3ed80fa7c704d42" /></Relationships>
</file>