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49be357ae41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1175</w:t>
      </w:r>
    </w:p>
    <w:p>
      <w:pPr>
        <w:jc w:val="center"/>
        <w:spacing w:before="480" w:after="0" w:line="240"/>
      </w:pPr>
      <w:r>
        <w:t xml:space="preserve">Chapter </w:t>
      </w:r>
      <w:r>
        <w:rPr/>
        <w:t xml:space="preserve">170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PETROLEUM UNDERGROUND STORAGE TANKS—FINANCIAL ASSURANCE PROGRAM</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17,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63</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Dye, and Leavitt; by request of Pollution Liability Insurance Agency)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0" w:after="0" w:line="408" w:lineRule="exact"/>
        <w:ind w:left="0" w:right="0" w:firstLine="576"/>
        <w:jc w:val="left"/>
      </w:pPr>
      <w:r>
        <w:rPr/>
        <w:t xml:space="preserve">(3) The agency is authorized to recover the costs of remedial actions conducted by the agency under this act, including the use of cost recovery options in the model toxics control act, chapter 70A.305 RCW, or other applicable state or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22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22 of this act), including, but not limited to, establishing and administering the state financial assurance program for petroleum underground storage tanks authorized by chapter 70A.--- RCW (the new chapter created in section 22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16,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f015ab29987747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eadb0074d94b1d" /><Relationship Type="http://schemas.openxmlformats.org/officeDocument/2006/relationships/footer" Target="/word/footer1.xml" Id="Rf015ab299877471c" /></Relationships>
</file>