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3c06ea01844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1179</w:t>
      </w:r>
    </w:p>
    <w:p>
      <w:pPr>
        <w:jc w:val="center"/>
        <w:spacing w:before="480" w:after="0" w:line="240"/>
      </w:pPr>
      <w:r>
        <w:t xml:space="preserve">Chapter </w:t>
      </w:r>
      <w:r>
        <w:rPr/>
        <w:t xml:space="preserve">26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CRIMINAL HISTORY DATA—STATE AUDITOR ACCESS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2023</w:t>
            </w:r>
          </w:p>
          <w:p>
            <w:pPr>
              <w:ind w:left="0" w:right="0" w:firstLine="360"/>
            </w:pPr>
            <w:r>
              <w:t xml:space="preserve">Yeas </w:t>
              <w:t xml:space="preserve">55</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Ramos, Goodman, Leavitt, Ryu, Ortiz-Self, Bateman, Taylor, Callan, and Macri; by request of State Auditor</w:t>
      </w:r>
    </w:p>
    <w:p/>
    <w:p>
      <w:r>
        <w:rPr>
          <w:t xml:space="preserve">Prefiled 01/06/23.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receive nonconviction data; and amending RCW 10.97.050 and 43.101.460.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460</w:t>
      </w:r>
      <w:r>
        <w:rPr/>
        <w:t xml:space="preserve"> and 2021 c 319 s 1 are each amended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43.102 RCW,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w:t>
      </w:r>
      <w:r>
        <w:rPr>
          <w:u w:val="single"/>
        </w:rPr>
        <w:t xml:space="preserve">The state auditor is authorized to access records of arrest, charges, or allegations of criminal conduct or other nonconviction data for the purposes of conducting reviews of any deadly force investigation authorized by this section.</w:t>
      </w:r>
    </w:p>
    <w:p>
      <w:pPr>
        <w:spacing w:before="0" w:after="0" w:line="408" w:lineRule="exact"/>
        <w:ind w:left="0" w:right="0" w:firstLine="576"/>
        <w:jc w:val="left"/>
      </w:pPr>
      <w:r>
        <w:rPr>
          <w:u w:val="single"/>
        </w:rPr>
        <w:t xml:space="preserve">(3)</w:t>
      </w:r>
      <w:r>
        <w:rPr/>
        <w:t xml:space="preserve">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19d0de6841724a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9e83c95f9486d" /><Relationship Type="http://schemas.openxmlformats.org/officeDocument/2006/relationships/footer" Target="/word/footer1.xml" Id="R19d0de6841724ad2" /></Relationships>
</file>