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3e535849be4c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1181</w:t>
      </w:r>
    </w:p>
    <w:p>
      <w:pPr>
        <w:jc w:val="center"/>
        <w:spacing w:before="480" w:after="0" w:line="240"/>
      </w:pPr>
      <w:r>
        <w:t xml:space="preserve">Chapter </w:t>
      </w:r>
      <w:r>
        <w:rPr/>
        <w:t xml:space="preserve">228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CLIMATE CHANGE—PLANNING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55</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1181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2023 10:18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1181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Duerr, Fitzgibbon, Berry, Peterson, Ryu, Alvarado, Taylor, Reed, Walen, Bateman, Ramel, Goodman, Doglio, Macri, Callan, Simmons, Lekanoff, Gregerson, Bergquist, Stonier, Pollet, Davis, Kloba, Riccelli, Mena, and Tharinger; by request of Office of the Governor)</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state's climate response through updates to the state's planning framework; amending RCW 36.70A.020, 36.70A.480, 36.70A.280, 36.70A.320, 36.70A.190, 86.12.200, 36.70A.030, and 70A.125.180; reenacting and amending RCW 36.70A.070 and 36.70A.130; adding new sections to chapter 36.70A RCW; adding a new section to chapter 70A.45 RCW; adding a new section to chapter 47.80 RCW; adding a new section to chapter 90.58 RCW; adding a new section to chapter 43.21C RCW; adding a new section to chapter 43.20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will reduce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 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and resiliency. Ensure that comprehensive plans, development regulations, and regional policies, plans, and strategies under RCW 36.70A.210 and chapter 47.80 RCW adapt to and mitigate the effects of a changing climate; support reductions in greenhouse gas emissions and per capita vehicle miles traveled; prepare for climate impact scenarios; foster resiliency to climate impacts and natural hazards; protect and enhance environmental, economic, and human health and safety; and advance environmental justice.</w:t>
      </w:r>
    </w:p>
    <w:p>
      <w:pPr>
        <w:spacing w:before="0" w:after="0" w:line="408" w:lineRule="exact"/>
        <w:ind w:left="0" w:right="0" w:firstLine="576"/>
        <w:jc w:val="left"/>
      </w:pPr>
      <w:r>
        <w:rPr>
          <w:u w:val="single"/>
        </w:rPr>
        <w:t xml:space="preserve">(15) Shorelines of the state. For shorelines of the state, the goals and policies of the shoreline management act as set forth in RCW 90.58.020 shall be considered an element of the county's or city's comprehensive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w:t>
      </w:r>
      <w:r>
        <w:rPr>
          <w:u w:val="single"/>
        </w:rPr>
        <w:t xml:space="preserve">and green spaces, urban and community forests within the urban growth area</w:t>
      </w:r>
      <w:r>
        <w:rPr/>
        <w:t xml:space="preserve">,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must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but are not limited to, adoption of portions or all of the wildland urban interface code developed by the international code council or developing building and maintenance standards consistent with the firewise USA program or similar program designed to reduce wildfire risk, reducing wildfire risks to residential development in high risk areas and the wildland urban interface area, separating human development from wildfire prone landscapes, and protecting existing residential development and infrastructure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w:t>
      </w:r>
      <w:r>
        <w:rPr>
          <w:u w:val="single"/>
        </w:rPr>
        <w:t xml:space="preserve">including green infrastructure,</w:t>
      </w:r>
      <w:r>
        <w:rPr/>
        <w:t xml:space="preserv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u w:val="single"/>
        </w:rPr>
        <w:t xml:space="preserve">The county or city shall identify all public entities that own capital facilities and endeavor in good faith to work with other public entities, such as special purpose districts, to gather and include within its capital facilities element the information required by this subsection. If, after a good faith effort, the county or city is unable to gather the information required by this subsection from the other public entities, the failure to include such information in its capital facilities element cannot be grounds for a finding of noncompliance or invalidity under this act.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(4)</w:t>
      </w:r>
      <w:r>
        <w:rPr>
          <w:u w:val="single"/>
        </w:rPr>
        <w:t xml:space="preserve">(a)</w:t>
      </w:r>
      <w:r>
        <w:rPr/>
        <w:t xml:space="preserve"> A utilities element consisting of the general location, proposed location, and capacity of all existing and proposed utilities</w:t>
      </w:r>
      <w:r>
        <w:t>((</w:t>
      </w:r>
      <w:r>
        <w:rPr>
          <w:strike/>
        </w:rPr>
        <w:t xml:space="preserve">,</w:t>
      </w:r>
      <w:r>
        <w:t>))</w:t>
      </w:r>
      <w:r>
        <w:rPr/>
        <w:t xml:space="preserve"> including, but not limited to, electrical </w:t>
      </w:r>
      <w:r>
        <w:t>((</w:t>
      </w:r>
      <w:r>
        <w:rPr>
          <w:strike/>
        </w:rPr>
        <w:t xml:space="preserve">lines</w:t>
      </w:r>
      <w:r>
        <w:t>))</w:t>
      </w:r>
      <w:r>
        <w:rPr/>
        <w:t xml:space="preserve">, </w:t>
      </w:r>
      <w:r>
        <w:t>((</w:t>
      </w:r>
      <w:r>
        <w:rPr>
          <w:strike/>
        </w:rPr>
        <w:t xml:space="preserve">telecommunication lines</w:t>
      </w:r>
      <w:r>
        <w:t>))</w:t>
      </w:r>
      <w:r>
        <w:rPr/>
        <w:t xml:space="preserve"> </w:t>
      </w:r>
      <w:r>
        <w:rPr>
          <w:u w:val="single"/>
        </w:rPr>
        <w:t xml:space="preserve">telecommunications</w:t>
      </w:r>
      <w:r>
        <w:rPr/>
        <w:t xml:space="preserve">, and natural gas </w:t>
      </w:r>
      <w:r>
        <w:t>((</w:t>
      </w:r>
      <w:r>
        <w:rPr>
          <w:strike/>
        </w:rPr>
        <w:t xml:space="preserve">lines</w:t>
      </w:r>
      <w:r>
        <w:t>))</w:t>
      </w:r>
      <w:r>
        <w:rPr/>
        <w:t xml:space="preserve"> </w:t>
      </w:r>
      <w:r>
        <w:rPr>
          <w:u w:val="single"/>
        </w:rPr>
        <w:t xml:space="preserve">systems</w:t>
      </w:r>
      <w:r>
        <w:rPr/>
        <w:t xml:space="preserve">.</w:t>
      </w:r>
    </w:p>
    <w:p>
      <w:pPr>
        <w:spacing w:before="0" w:after="0" w:line="408" w:lineRule="exact"/>
        <w:ind w:left="0" w:right="0" w:firstLine="576"/>
        <w:jc w:val="left"/>
      </w:pPr>
      <w:r>
        <w:rPr>
          <w:u w:val="single"/>
        </w:rPr>
        <w:t xml:space="preserve">(b) The county or city shall identify all public entities that own utility systems and endeavor in good faith to work with other public entities, such as special purpose districts, to gather and include within its utilities element the information required in (a) of this subsection. However, if, after a good faith effort, the county or city is unable to gather the information required in (a) of this subsection from the other public entities, the failure to include such information in the utilities element shall not be grounds for a finding of noncompliance or invalidity under this act.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w:t>
      </w:r>
      <w:r>
        <w:t>((</w:t>
      </w:r>
      <w:r>
        <w:rPr>
          <w:strike/>
        </w:rPr>
        <w:t xml:space="preserve">traffic</w:t>
      </w:r>
      <w:r>
        <w:t>))</w:t>
      </w:r>
      <w:r>
        <w:rPr/>
        <w:t xml:space="preserve"> </w:t>
      </w:r>
      <w:r>
        <w:rPr>
          <w:u w:val="single"/>
        </w:rPr>
        <w:t xml:space="preserve">multimodal level of service</w:t>
      </w:r>
      <w:r>
        <w:rPr/>
        <w:t xml:space="preserve">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w:t>
      </w:r>
      <w:r>
        <w:t>((</w:t>
      </w:r>
      <w:r>
        <w:rPr>
          <w:strike/>
        </w:rPr>
        <w:t xml:space="preserve">Level</w:t>
      </w:r>
      <w:r>
        <w:t>))</w:t>
      </w:r>
      <w:r>
        <w:rPr/>
        <w:t xml:space="preserve"> </w:t>
      </w:r>
      <w:r>
        <w:rPr>
          <w:u w:val="single"/>
        </w:rPr>
        <w:t xml:space="preserve">Multimodal level</w:t>
      </w:r>
      <w:r>
        <w:rPr/>
        <w:t xml:space="preserve">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state-owned or operated transit routes that serve urban areas if the department of transportation has prepared such standards, and active transportation facilities</w:t>
      </w:r>
      <w:r>
        <w:rPr/>
        <w:t xml:space="preserve"> to serve as a gauge to judge performance of the system </w:t>
      </w:r>
      <w:r>
        <w:rPr>
          <w:u w:val="single"/>
        </w:rPr>
        <w:t xml:space="preserve">and success in helping to achieve the goals of this chapter consistent with environmental justice</w:t>
      </w:r>
      <w:r>
        <w:rPr/>
        <w:t xml:space="preserve">. These standards should be regionally coordinated;</w:t>
      </w:r>
    </w:p>
    <w:p>
      <w:pPr>
        <w:spacing w:before="0" w:after="0" w:line="408" w:lineRule="exact"/>
        <w:ind w:left="0" w:right="0" w:firstLine="576"/>
        <w:jc w:val="left"/>
      </w:pPr>
      <w:r>
        <w:rPr/>
        <w:t xml:space="preserve">(C) For state-owned transportation facilities, </w:t>
      </w:r>
      <w:r>
        <w:rPr>
          <w:u w:val="single"/>
        </w:rPr>
        <w:t xml:space="preserve">multimodal</w:t>
      </w:r>
      <w:r>
        <w:rPr/>
        <w:t xml:space="preserve"> level of service standards for highways, as prescribed in chapters 47.06 and 47.80 RCW, to gauge the performance of the system. The purposes of reflecting </w:t>
      </w:r>
      <w:r>
        <w:rPr>
          <w:u w:val="single"/>
        </w:rPr>
        <w:t xml:space="preserve">multimodal</w:t>
      </w:r>
      <w:r>
        <w:rPr/>
        <w:t xml:space="preserve">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w:t>
      </w:r>
      <w:r>
        <w:rPr>
          <w:u w:val="single"/>
        </w:rPr>
        <w:t xml:space="preserve">multimodal</w:t>
      </w:r>
      <w:r>
        <w:rPr/>
        <w:t xml:space="preserve">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multimodal transportation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 Priority must be given to inclusion of transportation facilities and services providing the greatest multimodal safety benefit to each category of roadway users for the context and speed of the facility</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and local goals, and strive to equitably implement the multimodal network</w:t>
      </w:r>
      <w:r>
        <w:rPr/>
        <w:t xml:space="preserve">;</w:t>
      </w:r>
    </w:p>
    <w:p>
      <w:pPr>
        <w:spacing w:before="0" w:after="0" w:line="408" w:lineRule="exact"/>
        <w:ind w:left="0" w:right="0" w:firstLine="576"/>
        <w:jc w:val="left"/>
      </w:pPr>
      <w:r>
        <w:rPr>
          <w:u w:val="single"/>
        </w:rPr>
        <w:t xml:space="preserve">(G) A transition plan for transportation as required in Title II of the Americans with disabilities act of 1990 (ADA).</w:t>
      </w:r>
      <w:r>
        <w:rPr>
          <w:u w:val="single"/>
        </w:rPr>
        <w:t xml:space="preserve"> As a necessary step to a program access plan to provide accessibility under the ADA, state and local government, public entities, and public agencies are required to perform self-evaluations of their current facilities, relative to accessibility requirements of the ADA. The agencies are then required to develop a program access plan, which can be called a transition plan, to address any deficiencies. The plan is intended to achieve the following:</w:t>
      </w:r>
    </w:p>
    <w:p>
      <w:pPr>
        <w:spacing w:before="0" w:after="0" w:line="408" w:lineRule="exact"/>
        <w:ind w:left="0" w:right="0" w:firstLine="576"/>
        <w:jc w:val="left"/>
      </w:pPr>
      <w:r>
        <w:rPr>
          <w:u w:val="single"/>
        </w:rPr>
        <w:t xml:space="preserve">(I) Identify physical obstacles that limit the accessibility of facilities to individuals with disabilities;</w:t>
      </w:r>
    </w:p>
    <w:p>
      <w:pPr>
        <w:spacing w:before="0" w:after="0" w:line="408" w:lineRule="exact"/>
        <w:ind w:left="0" w:right="0" w:firstLine="576"/>
        <w:jc w:val="left"/>
      </w:pPr>
      <w:r>
        <w:rPr>
          <w:u w:val="single"/>
        </w:rPr>
        <w:t xml:space="preserve">(II) Describe the methods to be used to make the facilities accessible;</w:t>
      </w:r>
    </w:p>
    <w:p>
      <w:pPr>
        <w:spacing w:before="0" w:after="0" w:line="408" w:lineRule="exact"/>
        <w:ind w:left="0" w:right="0" w:firstLine="576"/>
        <w:jc w:val="left"/>
      </w:pPr>
      <w:r>
        <w:rPr>
          <w:u w:val="single"/>
        </w:rPr>
        <w:t xml:space="preserve">(III) Provide a schedule for making the access modifications; and</w:t>
      </w:r>
    </w:p>
    <w:p>
      <w:pPr>
        <w:spacing w:before="0" w:after="0" w:line="408" w:lineRule="exact"/>
        <w:ind w:left="0" w:right="0" w:firstLine="576"/>
        <w:jc w:val="left"/>
      </w:pPr>
      <w:r>
        <w:rPr>
          <w:u w:val="single"/>
        </w:rPr>
        <w:t xml:space="preserve">(IV) Identify the public officials responsible for implementation of the transition plan;</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t>((</w:t>
      </w:r>
      <w:r>
        <w:rPr>
          <w:strike/>
        </w:rPr>
        <w:t xml:space="preserve">increased</w:t>
      </w:r>
      <w:r>
        <w:t>))</w:t>
      </w:r>
      <w:r>
        <w:rPr/>
        <w:t xml:space="preserve"> </w:t>
      </w:r>
      <w:r>
        <w:rPr>
          <w:u w:val="single"/>
        </w:rPr>
        <w:t xml:space="preserve">active transportation facility improvements, increased 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A development proposal may not be denied for causing the level of service on a locally owned or locally or regionally operated transportation facility to decline below the standards adopted in the transportation element of the comprehensive plan where such impacts could be adequately mitigated through active transportation facility improvements, increased or enhanced public transportation service, ride-sharing programs, demand management, or other transportation systems management strategies funded by the development.</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w:t>
      </w:r>
      <w:r>
        <w:rPr>
          <w:u w:val="single"/>
        </w:rPr>
        <w:t xml:space="preserve">(c) an evaluation of tree canopy coverage within the urban growth area;</w:t>
      </w:r>
      <w:r>
        <w:rPr/>
        <w:t xml:space="preserve"> and </w:t>
      </w:r>
      <w:r>
        <w:t>((</w:t>
      </w:r>
      <w:r>
        <w:rPr>
          <w:strike/>
        </w:rPr>
        <w:t xml:space="preserve">(c)</w:t>
      </w:r>
      <w:r>
        <w:t>))</w:t>
      </w:r>
      <w:r>
        <w:rPr/>
        <w:t xml:space="preserve"> </w:t>
      </w:r>
      <w:r>
        <w:rPr>
          <w:u w:val="single"/>
        </w:rPr>
        <w:t xml:space="preserve">(d)</w:t>
      </w:r>
      <w:r>
        <w:rPr/>
        <w:t xml:space="preserve">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u w:val="single"/>
        </w:rPr>
        <w:t xml:space="preserve">(b) The climate change and resiliency element shall include the following subelements:</w:t>
      </w:r>
    </w:p>
    <w:p>
      <w:pPr>
        <w:spacing w:before="0" w:after="0" w:line="408" w:lineRule="exact"/>
        <w:ind w:left="0" w:right="0" w:firstLine="576"/>
        <w:jc w:val="left"/>
      </w:pPr>
      <w:r>
        <w:rPr>
          <w:u w:val="single"/>
        </w:rPr>
        <w:t xml:space="preserve">(i) A greenhouse gas emissions reduction subelement;</w:t>
      </w:r>
    </w:p>
    <w:p>
      <w:pPr>
        <w:spacing w:before="0" w:after="0" w:line="408" w:lineRule="exact"/>
        <w:ind w:left="0" w:right="0" w:firstLine="576"/>
        <w:jc w:val="left"/>
      </w:pPr>
      <w:r>
        <w:rPr>
          <w:u w:val="single"/>
        </w:rPr>
        <w:t xml:space="preserve">(ii) A resiliency subelement.</w:t>
      </w:r>
    </w:p>
    <w:p>
      <w:pPr>
        <w:spacing w:before="0" w:after="0" w:line="408" w:lineRule="exact"/>
        <w:ind w:left="0" w:right="0" w:firstLine="576"/>
        <w:jc w:val="left"/>
      </w:pPr>
      <w:r>
        <w:rPr>
          <w:u w:val="single"/>
        </w:rPr>
        <w:t xml:space="preserve">(c) The greenhouse gas emissions reduction subelement of the climate change and resiliency element is mandatory for the jurisdictions specified in section 4(1)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that benefit overburdened communities in order to maximize the cobenefits of reduced air pollution and environmental justice.</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consistent with these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u w:val="single"/>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that benefit overburdened communities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(B) Identify, protect, and enhance community resiliency to climate change impacts, including social, economic, and built environment factors, that support adaptation to climate impacts consistent with environmental justice; and</w:t>
      </w:r>
    </w:p>
    <w:p>
      <w:pPr>
        <w:spacing w:before="0" w:after="0" w:line="408" w:lineRule="exact"/>
        <w:ind w:left="0" w:right="0" w:firstLine="576"/>
        <w:jc w:val="left"/>
      </w:pPr>
      <w:r>
        <w:rPr>
          <w:u w:val="single"/>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A natural hazard mitigation plan or similar plan that is guided by RCW 36.70A.020(14), that prioritizes actions that benefit overburdened communities,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u w:val="single"/>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u w:val="single"/>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u w:val="single"/>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u w:val="single"/>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u w:val="single"/>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u w:val="single"/>
        </w:rPr>
        <w:t xml:space="preserve">(F) The adoption of ordinances, amendments to comprehensive plans, amendments to development regulations, and other nonproject actions taken by a county or city pursuant to (d) of this subsection in order to implement measures specified by the department pursuant to section 5 of this act are not subject to administrative or judicial appeal under chapter 43.21C RCW.</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 apply only to those counties that are required or that choose to plan under RCW 36.70A.040 and that also meet either of the criteria set forth in (a), (b), or (c) of this subsection on or after April 1, 2021, and the cities with populations greater than 6,000 as of April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w:t>
      </w:r>
    </w:p>
    <w:p>
      <w:pPr>
        <w:spacing w:before="0" w:after="0" w:line="408" w:lineRule="exact"/>
        <w:ind w:left="0" w:right="0" w:firstLine="576"/>
        <w:jc w:val="left"/>
      </w:pPr>
      <w:r>
        <w:rPr/>
        <w:t xml:space="preserve">(b) A county bordering on the Columbia and Snake rivers with a population density of at least 75 people per square mile and an annual growth rate of at least 1.65 percent; or</w:t>
      </w:r>
    </w:p>
    <w:p>
      <w:pPr>
        <w:spacing w:before="0" w:after="0" w:line="408" w:lineRule="exact"/>
        <w:ind w:left="0" w:right="0" w:firstLine="576"/>
        <w:jc w:val="left"/>
      </w:pPr>
      <w:r>
        <w:rPr/>
        <w:t xml:space="preserve">(c) A county located to the west of the crest of the Cascade mountains with a population of at least 130,000.</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April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April 1, 2021, and that are required or that choose to plan under RCW 36.70A.040.</w:t>
      </w:r>
    </w:p>
    <w:p>
      <w:pPr>
        <w:spacing w:before="0" w:after="0" w:line="408" w:lineRule="exact"/>
        <w:ind w:left="0" w:right="0" w:firstLine="576"/>
        <w:jc w:val="left"/>
      </w:pPr>
      <w:r>
        <w:rPr/>
        <w:t xml:space="preserve">(4)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(5)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April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(6) The population criteria used in this section must be based on population data as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may implement via updates to their comprehensive plans and development regulations that have a demonstrated ability to increase housing capacity within urban growth areas or reduce greenhouse gas emissions, allowing for consideration of the emissions reductions achieved through the adoption of statewide programs. The guidelines must prioritize measures that benefit overburdened communities, including communities that have experienced disproportionate harm due to air pollution and may draw upon the most recent health disparities data from the department of health to identify high pollution areas and disproportionately burdened communities. These guidelines must be developed consistent with an environmental justice assessment pursuant to RCW 70A.02.060 and the guidelines must include environmental justice assessment processes.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(c) The locations of major employment centers and transit corridors, for the purpose of increasing housing supply in these areas; and</w:t>
      </w:r>
    </w:p>
    <w:p>
      <w:pPr>
        <w:spacing w:before="0" w:after="0" w:line="408" w:lineRule="exact"/>
        <w:ind w:left="0" w:right="0" w:firstLine="576"/>
        <w:jc w:val="left"/>
      </w:pPr>
      <w:r>
        <w:rPr/>
        <w:t xml:space="preserve">(d) Available environmental justice data and data regarding access to public transportation for people with disabilities and for vulnerable populations.</w:t>
      </w:r>
    </w:p>
    <w:p>
      <w:pPr>
        <w:spacing w:before="0" w:after="0" w:line="408" w:lineRule="exact"/>
        <w:ind w:left="0" w:right="0" w:firstLine="576"/>
        <w:jc w:val="left"/>
      </w:pPr>
      <w:r>
        <w:rPr/>
        <w:t xml:space="preserve">(2)(a) The department of commerce, in consultation with the department of transportation, shall publish guidelines that specify a set of measures counties and cities may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(b) The guidelines must be based on:</w:t>
      </w:r>
    </w:p>
    <w:p>
      <w:pPr>
        <w:spacing w:before="0" w:after="0" w:line="408" w:lineRule="exact"/>
        <w:ind w:left="0" w:right="0" w:firstLine="576"/>
        <w:jc w:val="left"/>
      </w:pPr>
      <w:r>
        <w:rPr/>
        <w:t xml:space="preserve">(i)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(ii) The most recent city and county population estimates prepared by the office of financial management pursuant to RCW 43.62.035; and</w:t>
      </w:r>
    </w:p>
    <w:p>
      <w:pPr>
        <w:spacing w:before="0" w:after="0" w:line="408" w:lineRule="exact"/>
        <w:ind w:left="0" w:right="0" w:firstLine="576"/>
        <w:jc w:val="left"/>
      </w:pPr>
      <w:r>
        <w:rPr/>
        <w:t xml:space="preserve">(iii)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five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2023, in order to be available for use by jurisdictions whose periodic updates are required by RCW 36.70A.130(5) to occur prior to December 31, 2025. Jurisdictions whose periodic updates are required by RCW 36.70A.130(5)(b) may utilize the intermediate set of guidelines published by the department of commerce to meet the requirements of RCW 36.70A.070(9).</w:t>
      </w:r>
    </w:p>
    <w:p>
      <w:pPr>
        <w:spacing w:before="0" w:after="0" w:line="408" w:lineRule="exact"/>
        <w:ind w:left="0" w:right="0" w:firstLine="576"/>
        <w:jc w:val="left"/>
      </w:pPr>
      <w:r>
        <w:rPr/>
        <w:t xml:space="preserve">(4)(a) In any updates to the guidelines published after 2025, the department of commerce shall include an evaluation of the impact that locally adopted climate change and resiliency elements have had on local greenhouse gas emissions and per capita vehicle miles traveled reduction goals. The evaluation must also address the impact that locally adopted greenhouse gas emissions reduction subelements have had on meeting local housing goals and targets.</w:t>
      </w:r>
    </w:p>
    <w:p>
      <w:pPr>
        <w:spacing w:before="0" w:after="0" w:line="408" w:lineRule="exact"/>
        <w:ind w:left="0" w:right="0" w:firstLine="576"/>
        <w:jc w:val="left"/>
      </w:pPr>
      <w:r>
        <w:rPr/>
        <w:t xml:space="preserve">(b) The updates must also include an estimate of the impacts that locally adopted climate change and resiliency elements will have on achieving local greenhouse gas emissions and per capita vehicle miles traveled reduction goals. The evaluation must also include an estimate of the impact that locally adopted greenhouse gas emissions reduction subelements will have on meeting local housing goals and targets.</w:t>
      </w:r>
    </w:p>
    <w:p>
      <w:pPr>
        <w:spacing w:before="0" w:after="0" w:line="408" w:lineRule="exact"/>
        <w:ind w:left="0" w:right="0" w:firstLine="576"/>
        <w:jc w:val="left"/>
      </w:pPr>
      <w:r>
        <w:rPr/>
        <w:t xml:space="preserve">(c) The department may include in the specified guidelines what additional measures cities and counties should take to make additional progress on local reduction goals, including any measures that increase housing capacity within urban growth areas.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increased housing supply and diversity of housing types that assist counties and cities in meeting greenhouse gas emissions reduction, housing supply, and other requirements established under this chapter.</w:t>
      </w:r>
    </w:p>
    <w:p>
      <w:pPr>
        <w:spacing w:before="0" w:after="0" w:line="408" w:lineRule="exact"/>
        <w:ind w:left="0" w:right="0" w:firstLine="576"/>
        <w:jc w:val="left"/>
      </w:pPr>
      <w:r>
        <w:rPr/>
        <w:t xml:space="preserve">(8) The provisions of this section as applied to the department of transportation are subject to the availability of amounts appropriated for this specific purpose.</w:t>
      </w:r>
    </w:p>
    <w:p>
      <w:pPr>
        <w:spacing w:before="0" w:after="0" w:line="408" w:lineRule="exact"/>
        <w:ind w:left="0" w:right="0" w:firstLine="576"/>
        <w:jc w:val="left"/>
      </w:pPr>
      <w:r>
        <w:rPr/>
        <w:t xml:space="preserve">(9) For purposes of this section, "overburdened communities" and "vulnerable populations" means the same as provided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to the department for approval. When submitted to the department for approval, the subelement becomes effective when approved by the department as provided in this section. If a county or city does not seek department approval of the subelement, the effective date of the subelement is the date on which the comprehensive plan is adopted by the county or city.</w:t>
      </w:r>
    </w:p>
    <w:p>
      <w:pPr>
        <w:spacing w:before="0" w:after="0" w:line="408" w:lineRule="exact"/>
        <w:ind w:left="0" w:right="0" w:firstLine="576"/>
        <w:jc w:val="left"/>
      </w:pPr>
      <w:r>
        <w:rPr/>
        <w:t xml:space="preserve">(2) Notice of intent to apply for approval. (a) Not less than 120 days prior to applying for approval of a subelement, the county or city must notify the department in writing that it intends to apply for approval. The department shall review proposed subelements prior to final adoption and advise the county or city of the actions necessary to receive approval.</w:t>
      </w:r>
    </w:p>
    <w:p>
      <w:pPr>
        <w:spacing w:before="0" w:after="0" w:line="408" w:lineRule="exact"/>
        <w:ind w:left="0" w:right="0" w:firstLine="576"/>
        <w:jc w:val="left"/>
      </w:pPr>
      <w:r>
        <w:rPr/>
        <w:t xml:space="preserve">(b) The department may consult with other relevant state agencies in making its determination.</w:t>
      </w:r>
    </w:p>
    <w:p>
      <w:pPr>
        <w:spacing w:before="0" w:after="0" w:line="408" w:lineRule="exact"/>
        <w:ind w:left="0" w:right="0" w:firstLine="576"/>
        <w:jc w:val="left"/>
      </w:pPr>
      <w:r>
        <w:rPr/>
        <w:t xml:space="preserve">(c) The department shall publish notice in the Washington State Register that a city or county has notified the department of its intent to apply for approval and the department shall post a copy of the notice on the department website.</w:t>
      </w:r>
    </w:p>
    <w:p>
      <w:pPr>
        <w:spacing w:before="0" w:after="0" w:line="408" w:lineRule="exact"/>
        <w:ind w:left="0" w:right="0" w:firstLine="576"/>
        <w:jc w:val="left"/>
      </w:pPr>
      <w:r>
        <w:rPr/>
        <w:t xml:space="preserve">(3) Procedures for an application for approval. (a) After taking final action to adopt a greenhouse gas emissions reduction subelement, a city or county may apply to the department for approval of the subelement. A city or county must submit its application to the department within 10 days of taking final action.</w:t>
      </w:r>
    </w:p>
    <w:p>
      <w:pPr>
        <w:spacing w:before="0" w:after="0" w:line="408" w:lineRule="exact"/>
        <w:ind w:left="0" w:right="0" w:firstLine="576"/>
        <w:jc w:val="left"/>
      </w:pPr>
      <w:r>
        <w:rPr/>
        <w:t xml:space="preserve">(b) An application for approval must include, at a minimum, the following:</w:t>
      </w:r>
    </w:p>
    <w:p>
      <w:pPr>
        <w:spacing w:before="0" w:after="0" w:line="408" w:lineRule="exact"/>
        <w:ind w:left="0" w:right="0" w:firstLine="576"/>
        <w:jc w:val="left"/>
      </w:pPr>
      <w:r>
        <w:rPr/>
        <w:t xml:space="preserve">(i) A cover letter from the legislative authority requesting approval;</w:t>
      </w:r>
    </w:p>
    <w:p>
      <w:pPr>
        <w:spacing w:before="0" w:after="0" w:line="408" w:lineRule="exact"/>
        <w:ind w:left="0" w:right="0" w:firstLine="576"/>
        <w:jc w:val="left"/>
      </w:pPr>
      <w:r>
        <w:rPr/>
        <w:t xml:space="preserve">(ii) A copy of the adopted ordinance or resolution taking the legislative action or actions required to adopt the greenhouse gas emissions reduction subelement;</w:t>
      </w:r>
    </w:p>
    <w:p>
      <w:pPr>
        <w:spacing w:before="0" w:after="0" w:line="408" w:lineRule="exact"/>
        <w:ind w:left="0" w:right="0" w:firstLine="576"/>
        <w:jc w:val="left"/>
      </w:pPr>
      <w:r>
        <w:rPr/>
        <w:t xml:space="preserve">(iii) A statement explaining how the adopted subelement complies with the provisions of this chapter; and</w:t>
      </w:r>
    </w:p>
    <w:p>
      <w:pPr>
        <w:spacing w:before="0" w:after="0" w:line="408" w:lineRule="exact"/>
        <w:ind w:left="0" w:right="0" w:firstLine="576"/>
        <w:jc w:val="left"/>
      </w:pPr>
      <w:r>
        <w:rPr/>
        <w:t xml:space="preserve">(iv) A copy of the record developed by the city or county at any public meetings or public hearings at which action was taken on the greenhouse gas emissions reduction subelement.</w:t>
      </w:r>
    </w:p>
    <w:p>
      <w:pPr>
        <w:spacing w:before="0" w:after="0" w:line="408" w:lineRule="exact"/>
        <w:ind w:left="0" w:right="0" w:firstLine="576"/>
        <w:jc w:val="left"/>
      </w:pPr>
      <w:r>
        <w:rPr/>
        <w:t xml:space="preserve">(c) For purposes of this subsection, the terms "action" and "meeting" have the same definition as in RCW 42.30.020.</w:t>
      </w:r>
    </w:p>
    <w:p>
      <w:pPr>
        <w:spacing w:before="0" w:after="0" w:line="408" w:lineRule="exact"/>
        <w:ind w:left="0" w:right="0" w:firstLine="576"/>
        <w:jc w:val="left"/>
      </w:pPr>
      <w:r>
        <w:rPr/>
        <w:t xml:space="preserve">(4) Approval procedures. (a) The department shall strive to achieve final action to approve or deny an application within 180 days of the date of receipt of the application.</w:t>
      </w:r>
    </w:p>
    <w:p>
      <w:pPr>
        <w:spacing w:before="0" w:after="0" w:line="408" w:lineRule="exact"/>
        <w:ind w:left="0" w:right="0" w:firstLine="576"/>
        <w:jc w:val="left"/>
      </w:pPr>
      <w:r>
        <w:rPr/>
        <w:t xml:space="preserve">(b) The department must issue its decision in the form of a written statement, including findings of fact and conclusions, and noting the date of the issuance of its decision. The department's issued decision must conspicuously and plainly state that it is the department's final decision and that there will be no further modifications to the proposed greenhouse gas emissions reduction subelement.</w:t>
      </w:r>
    </w:p>
    <w:p>
      <w:pPr>
        <w:spacing w:before="0" w:after="0" w:line="408" w:lineRule="exact"/>
        <w:ind w:left="0" w:right="0" w:firstLine="576"/>
        <w:jc w:val="left"/>
      </w:pPr>
      <w:r>
        <w:rPr/>
        <w:t xml:space="preserve">(c) The department will promptly publish its decision on the application for approval as follows:</w:t>
      </w:r>
    </w:p>
    <w:p>
      <w:pPr>
        <w:spacing w:before="0" w:after="0" w:line="408" w:lineRule="exact"/>
        <w:ind w:left="0" w:right="0" w:firstLine="576"/>
        <w:jc w:val="left"/>
      </w:pPr>
      <w:r>
        <w:rPr/>
        <w:t xml:space="preserve">(i) Notify the city or county in writing of its determination;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approval decision.</w:t>
      </w:r>
    </w:p>
    <w:p>
      <w:pPr>
        <w:spacing w:before="0" w:after="0" w:line="408" w:lineRule="exact"/>
        <w:ind w:left="0" w:right="0" w:firstLine="576"/>
        <w:jc w:val="left"/>
      </w:pPr>
      <w:r>
        <w:rPr/>
        <w:t xml:space="preserve">(5)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(6)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36.70A.070(9)(e),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 proposed greenhouse gas emissions reduction subelement or amendments by a local government planning under RCW 36.70A.040 was not in compliance with the joint guidance issued by the department pursuant to section 5 of this act</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2022 c 252 s 5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w:t>
      </w:r>
      <w:r>
        <w:rPr>
          <w:u w:val="single"/>
        </w:rPr>
        <w:t xml:space="preserve">the presence of overburdened communities,</w:t>
      </w:r>
      <w:r>
        <w:rPr/>
        <w:t xml:space="preserve"> and other relevant factors. </w:t>
      </w:r>
      <w:r>
        <w:rPr>
          <w:u w:val="single"/>
        </w:rPr>
        <w:t xml:space="preserve">The department shall establish funding levels for grants to community-based organizations for the specific purpose of advancing participation of vulnerable populations and overburdened communities in the planning process.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services to facilitate the timely resolution of disputes between a federally recognized Indian tribe and a city or county.</w:t>
      </w:r>
    </w:p>
    <w:p>
      <w:pPr>
        <w:spacing w:before="0" w:after="0" w:line="408" w:lineRule="exact"/>
        <w:ind w:left="0" w:right="0" w:firstLine="576"/>
        <w:jc w:val="left"/>
      </w:pPr>
      <w:r>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agreed-upon elements of the plan to be amended.</w:t>
      </w:r>
    </w:p>
    <w:p>
      <w:pPr>
        <w:spacing w:before="0" w:after="0" w:line="408" w:lineRule="exact"/>
        <w:ind w:left="0" w:right="0" w:firstLine="576"/>
        <w:jc w:val="left"/>
      </w:pPr>
      <w:r>
        <w:rPr/>
        <w:t xml:space="preserve">(7) The department shall provide planning grants to enhance citizen participation under RCW 36.70A.140.</w:t>
      </w:r>
    </w:p>
    <w:p>
      <w:pPr>
        <w:spacing w:before="0" w:after="0" w:line="408" w:lineRule="exact"/>
        <w:ind w:left="0" w:right="0" w:firstLine="576"/>
        <w:jc w:val="left"/>
      </w:pPr>
      <w:r>
        <w:rPr>
          <w:u w:val="single"/>
        </w:rPr>
        <w:t xml:space="preserve">(8)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and may include model options or voluntary cross-jurisdictional strategies, or both,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climate change mitigation, salmon recovery, forest health, ecosystem services, and socioeconomic health and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(d) or (e)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(33)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(34)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(35)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u w:val="single"/>
        </w:rPr>
        <w:t xml:space="preserve">(36)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(37)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u w:val="single"/>
        </w:rPr>
        <w:t xml:space="preserve">(a) Is accessible to the public;</w:t>
      </w:r>
    </w:p>
    <w:p>
      <w:pPr>
        <w:spacing w:before="0" w:after="0" w:line="408" w:lineRule="exact"/>
        <w:ind w:left="0" w:right="0" w:firstLine="576"/>
        <w:jc w:val="left"/>
      </w:pPr>
      <w:r>
        <w:rPr>
          <w:u w:val="single"/>
        </w:rPr>
        <w:t xml:space="preserve">(b) Promotes physical and mental health of residents;</w:t>
      </w:r>
    </w:p>
    <w:p>
      <w:pPr>
        <w:spacing w:before="0" w:after="0" w:line="408" w:lineRule="exact"/>
        <w:ind w:left="0" w:right="0" w:firstLine="576"/>
        <w:jc w:val="left"/>
      </w:pPr>
      <w:r>
        <w:rPr>
          <w:u w:val="single"/>
        </w:rPr>
        <w:t xml:space="preserve">(c) Provides relief from the urban heat island effects;</w:t>
      </w:r>
    </w:p>
    <w:p>
      <w:pPr>
        <w:spacing w:before="0" w:after="0" w:line="408" w:lineRule="exact"/>
        <w:ind w:left="0" w:right="0" w:firstLine="576"/>
        <w:jc w:val="left"/>
      </w:pPr>
      <w:r>
        <w:rPr>
          <w:u w:val="single"/>
        </w:rPr>
        <w:t xml:space="preserve">(d) Promotes recreational and aesthetic values;</w:t>
      </w:r>
    </w:p>
    <w:p>
      <w:pPr>
        <w:spacing w:before="0" w:after="0" w:line="408" w:lineRule="exact"/>
        <w:ind w:left="0" w:right="0" w:firstLine="576"/>
        <w:jc w:val="left"/>
      </w:pPr>
      <w:r>
        <w:rPr>
          <w:u w:val="single"/>
        </w:rPr>
        <w:t xml:space="preserve">(e) Protects streams or water supply; or</w:t>
      </w:r>
    </w:p>
    <w:p>
      <w:pPr>
        <w:spacing w:before="0" w:after="0" w:line="408" w:lineRule="exact"/>
        <w:ind w:left="0" w:right="0" w:firstLine="576"/>
        <w:jc w:val="left"/>
      </w:pPr>
      <w:r>
        <w:rPr>
          <w:u w:val="single"/>
        </w:rPr>
        <w:t xml:space="preserve">(f) Preserves visual quality along highway, road, or street corridors.</w:t>
      </w:r>
    </w:p>
    <w:p>
      <w:pPr>
        <w:spacing w:before="0" w:after="0" w:line="408" w:lineRule="exact"/>
        <w:ind w:left="0" w:right="0" w:firstLine="576"/>
        <w:jc w:val="left"/>
      </w:pPr>
      <w:r>
        <w:rPr>
          <w:u w:val="single"/>
        </w:rPr>
        <w:t xml:space="preserve">(38)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u w:val="single"/>
        </w:rPr>
        <w:t xml:space="preserve">(39) "Wildland urban interface" means the geographical area where structures and other human development meets or intermingles with wildland vegetative fuels.</w:t>
      </w:r>
    </w:p>
    <w:p>
      <w:pPr>
        <w:spacing w:before="0" w:after="0" w:line="408" w:lineRule="exact"/>
        <w:ind w:left="0" w:right="0" w:firstLine="576"/>
        <w:jc w:val="left"/>
      </w:pPr>
      <w:r>
        <w:rPr>
          <w:u w:val="single"/>
        </w:rPr>
        <w:t xml:space="preserve">(40)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u w:val="single"/>
        </w:rPr>
        <w:t xml:space="preserve">(41)(a)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u w:val="single"/>
        </w:rPr>
        <w:t xml:space="preserve">(b) "Vulnerable populations" includes, but is not limited to:</w:t>
      </w:r>
    </w:p>
    <w:p>
      <w:pPr>
        <w:spacing w:before="0" w:after="0" w:line="408" w:lineRule="exact"/>
        <w:ind w:left="0" w:right="0" w:firstLine="576"/>
        <w:jc w:val="left"/>
      </w:pPr>
      <w:r>
        <w:rPr>
          <w:u w:val="single"/>
        </w:rPr>
        <w:t xml:space="preserve">(i) Racial or ethnic minorities;</w:t>
      </w:r>
    </w:p>
    <w:p>
      <w:pPr>
        <w:spacing w:before="0" w:after="0" w:line="408" w:lineRule="exact"/>
        <w:ind w:left="0" w:right="0" w:firstLine="576"/>
        <w:jc w:val="left"/>
      </w:pPr>
      <w:r>
        <w:rPr>
          <w:u w:val="single"/>
        </w:rPr>
        <w:t xml:space="preserve">(ii) Low-income populations; and</w:t>
      </w:r>
    </w:p>
    <w:p>
      <w:pPr>
        <w:spacing w:before="0" w:after="0" w:line="408" w:lineRule="exact"/>
        <w:ind w:left="0" w:right="0" w:firstLine="576"/>
        <w:jc w:val="left"/>
      </w:pPr>
      <w:r>
        <w:rPr>
          <w:u w:val="single"/>
        </w:rPr>
        <w:t xml:space="preserve">(iii) Populations disproportionately impacted by environmental harms.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w:t>
      </w:r>
      <w:r>
        <w:t>((</w:t>
      </w:r>
      <w:r>
        <w:rPr>
          <w:strike/>
        </w:rPr>
        <w:t xml:space="preserve">ten</w:t>
      </w:r>
      <w:r>
        <w:t>))</w:t>
      </w:r>
      <w:r>
        <w:rPr/>
        <w:t xml:space="preserve"> </w:t>
      </w:r>
      <w:r>
        <w:rPr>
          <w:u w:val="single"/>
        </w:rPr>
        <w:t xml:space="preserve">10</w:t>
      </w:r>
      <w:r>
        <w:rPr/>
        <w:t xml:space="preserve">-year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w:t>
      </w:r>
      <w:r>
        <w:t>((</w:t>
      </w:r>
      <w:r>
        <w:rPr>
          <w:strike/>
        </w:rPr>
        <w:t xml:space="preserve">On</w:t>
      </w:r>
      <w:r>
        <w:t>))</w:t>
      </w:r>
      <w:r>
        <w:rPr/>
        <w:t xml:space="preserve"> </w:t>
      </w:r>
      <w:r>
        <w:rPr>
          <w:u w:val="single"/>
        </w:rPr>
        <w:t xml:space="preserve">Except as provided in subsection (10) of this section, on</w:t>
      </w:r>
      <w:r>
        <w:rPr/>
        <w:t xml:space="preserve">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u w:val="single"/>
        </w:rPr>
        <w:t xml:space="preserve">(10) Any county or city that is required by section 4 of this act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Notwithstanding the requirements of RCW 36.70A.070(10), it is the intent that jurisdictions subject to RCW 36.70A.130(5)(b) implement the requirements of this act on or before June 30, 2025. Any funding provided to cover applicable local government costs related to implementation of this act shall be considered timely.</w:t>
      </w:r>
    </w:p>
    <w:p>
      <w:pPr>
        <w:spacing w:before="0" w:after="0" w:line="408" w:lineRule="exact"/>
        <w:ind w:left="0" w:right="0" w:firstLine="576"/>
        <w:jc w:val="left"/>
      </w:pPr>
      <w:r>
        <w:rPr/>
        <w:t xml:space="preserve">(2) This section expires July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Beginning with water system plans initiated after June 30, 2025, the department shall ensure water system plans for group A community public water systems serving 1,000 or more connections include a climate resilience element at the time of approval.</w:t>
      </w:r>
    </w:p>
    <w:p>
      <w:pPr>
        <w:spacing w:before="0" w:after="0" w:line="408" w:lineRule="exact"/>
        <w:ind w:left="0" w:right="0" w:firstLine="576"/>
        <w:jc w:val="left"/>
      </w:pPr>
      <w:r>
        <w:rPr/>
        <w:t xml:space="preserve">(b) The department must update its water system planning guidebook to assist water systems in implementing the climate resilience element, including guidance on any available technical and financial resources.</w:t>
      </w:r>
    </w:p>
    <w:p>
      <w:pPr>
        <w:spacing w:before="0" w:after="0" w:line="408" w:lineRule="exact"/>
        <w:ind w:left="0" w:right="0" w:firstLine="576"/>
        <w:jc w:val="left"/>
      </w:pPr>
      <w:r>
        <w:rPr/>
        <w:t xml:space="preserve">(c) The department shall provide technical assistance to public water systems based on their system size, location, and water source, by providing references to existing state or federal risk management, climate resiliency, or emergency management and response tools that may be used to satisfy the climate resilience element.</w:t>
      </w:r>
    </w:p>
    <w:p>
      <w:pPr>
        <w:spacing w:before="0" w:after="0" w:line="408" w:lineRule="exact"/>
        <w:ind w:left="0" w:right="0" w:firstLine="576"/>
        <w:jc w:val="left"/>
      </w:pPr>
      <w:r>
        <w:rPr/>
        <w:t xml:space="preserve">(d) Subject to the availability of amounts appropriated for this specific purpose, the University of Washington climate impacts group shall assist the department in the development of tools for the technical assistance to be provided in (c) of this subsection.</w:t>
      </w:r>
    </w:p>
    <w:p>
      <w:pPr>
        <w:spacing w:before="0" w:after="0" w:line="408" w:lineRule="exact"/>
        <w:ind w:left="0" w:right="0" w:firstLine="576"/>
        <w:jc w:val="left"/>
      </w:pPr>
      <w:r>
        <w:rPr/>
        <w:t xml:space="preserve">(2) To fulfill the requirements of the climate resilience element, water systems must:</w:t>
      </w:r>
    </w:p>
    <w:p>
      <w:pPr>
        <w:spacing w:before="0" w:after="0" w:line="408" w:lineRule="exact"/>
        <w:ind w:left="0" w:right="0" w:firstLine="576"/>
        <w:jc w:val="left"/>
      </w:pPr>
      <w:r>
        <w:rPr/>
        <w:t xml:space="preserve">(a) Determine which extreme weather events pose significant challenges to their system and build scenarios to identify potential impacts;</w:t>
      </w:r>
    </w:p>
    <w:p>
      <w:pPr>
        <w:spacing w:before="0" w:after="0" w:line="408" w:lineRule="exact"/>
        <w:ind w:left="0" w:right="0" w:firstLine="576"/>
        <w:jc w:val="left"/>
      </w:pPr>
      <w:r>
        <w:rPr/>
        <w:t xml:space="preserve">(b) Assess critical assets and the actions necessary to protect the system from the consequences of extreme weather events on system operations; and</w:t>
      </w:r>
    </w:p>
    <w:p>
      <w:pPr>
        <w:spacing w:before="0" w:after="0" w:line="408" w:lineRule="exact"/>
        <w:ind w:left="0" w:right="0" w:firstLine="576"/>
        <w:jc w:val="left"/>
      </w:pPr>
      <w:r>
        <w:rPr/>
        <w:t xml:space="preserve">(c) Generate reports describing the costs and benefits of the system's risk reduction strategies and capital project needs.</w:t>
      </w:r>
    </w:p>
    <w:p>
      <w:pPr>
        <w:spacing w:before="0" w:after="0" w:line="408" w:lineRule="exact"/>
        <w:ind w:left="0" w:right="0" w:firstLine="576"/>
        <w:jc w:val="left"/>
      </w:pPr>
      <w:r>
        <w:rPr/>
        <w:t xml:space="preserve">(3) Climate readiness projects, including planning to meet the requirements of this section and actions to protect a water system from extreme weather events, including infrastructure and design projects, are eligible for financial assistance under RCW 70A.125.180. The department must develop grant and loan eligibility criteria and consider applications from water systems that identify climate readiness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180</w:t>
      </w:r>
      <w:r>
        <w:rPr/>
        <w:t xml:space="preserve"> and 2020 c 20 s 1359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w:t>
      </w:r>
      <w:r>
        <w:t>((</w:t>
      </w:r>
      <w:r>
        <w:rPr>
          <w:strike/>
        </w:rPr>
        <w:t xml:space="preserve">The program shall be jointly administered with the public works board and the department of commerce.</w:t>
      </w:r>
      <w:r>
        <w:t>))</w:t>
      </w:r>
      <w:r>
        <w:rPr/>
        <w:t xml:space="preserve"> The </w:t>
      </w:r>
      <w:r>
        <w:t>((</w:t>
      </w:r>
      <w:r>
        <w:rPr>
          <w:strike/>
        </w:rPr>
        <w:t xml:space="preserve">agencies</w:t>
      </w:r>
      <w:r>
        <w:t>))</w:t>
      </w:r>
      <w:r>
        <w:rPr/>
        <w:t xml:space="preserve"> </w:t>
      </w:r>
      <w:r>
        <w:rPr>
          <w:u w:val="single"/>
        </w:rPr>
        <w:t xml:space="preserve">department</w:t>
      </w:r>
      <w:r>
        <w:rPr/>
        <w:t xml:space="preserve"> shall adopt guidelines for the program using as a model the procedures and criteria of the drinking water revolving loan program authorized under RCW 70A.125.160. All financing provided through the program must be in the form of grants </w:t>
      </w:r>
      <w:r>
        <w:rPr>
          <w:u w:val="single"/>
        </w:rPr>
        <w:t xml:space="preserve">or loans</w:t>
      </w:r>
      <w:r>
        <w:rPr/>
        <w:t xml:space="preserve"> that partially cover project costs</w:t>
      </w:r>
      <w:r>
        <w:rPr>
          <w:u w:val="single"/>
        </w:rPr>
        <w:t xml:space="preserve">, including projects and planning required under section 17 of this act</w:t>
      </w:r>
      <w:r>
        <w:rPr/>
        <w:t xml:space="preserve">. The maximum grant </w:t>
      </w:r>
      <w:r>
        <w:rPr>
          <w:u w:val="single"/>
        </w:rPr>
        <w:t xml:space="preserve">or loan</w:t>
      </w:r>
      <w:r>
        <w:rPr/>
        <w:t xml:space="preserve"> to any eligible entity may not exceed </w:t>
      </w:r>
      <w:r>
        <w:t>((</w:t>
      </w:r>
      <w:r>
        <w:rPr>
          <w:strike/>
        </w:rPr>
        <w:t xml:space="preserve">twenty-five</w:t>
      </w:r>
      <w:r>
        <w:t>))</w:t>
      </w:r>
      <w:r>
        <w:rPr/>
        <w:t xml:space="preserve"> </w:t>
      </w:r>
      <w:r>
        <w:rPr>
          <w:u w:val="single"/>
        </w:rPr>
        <w:t xml:space="preserve">25</w:t>
      </w:r>
      <w:r>
        <w:rPr/>
        <w:t xml:space="preserve"> percent of the funds allocated to the appropriation in any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May 3,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4fa80bf90c44412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ed0b0828b447f8" /><Relationship Type="http://schemas.openxmlformats.org/officeDocument/2006/relationships/footer" Target="/word/footer1.xml" Id="R4fa80bf90c44412f" /></Relationships>
</file>