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44f42971a449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1258</w:t>
      </w:r>
    </w:p>
    <w:p>
      <w:pPr>
        <w:jc w:val="center"/>
        <w:spacing w:before="480" w:after="0" w:line="240"/>
      </w:pPr>
      <w:r>
        <w:t xml:space="preserve">Chapter </w:t>
      </w:r>
      <w:r>
        <w:rPr/>
        <w:t xml:space="preserve">348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STATEWIDE TOURISM MARKETING ACCOUNT—MATCHING FUNDS RATIO</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Ryu, Volz, Steele, Walen, Reeves, Waters, Chambers, Reed, Christian, Cortes, Callan, Schmidt, Barkis, and Fosse)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tourism to Washington state through enhancement of the statewide tourism marketing account and changing necessary match requirements; and amending RCW 43.384.040.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w:t>
      </w:r>
      <w:r>
        <w:t>((</w:t>
      </w:r>
      <w:r>
        <w:rPr>
          <w:strike/>
        </w:rPr>
        <w:t xml:space="preserve">two-to-one</w:t>
      </w:r>
      <w:r>
        <w:t>))</w:t>
      </w:r>
      <w:r>
        <w:rPr/>
        <w:t xml:space="preserve"> </w:t>
      </w:r>
      <w:r>
        <w:rPr>
          <w:u w:val="single"/>
        </w:rPr>
        <w:t xml:space="preserve">one-to-one</w:t>
      </w:r>
      <w:r>
        <w:rPr/>
        <w:t xml:space="preserv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de855f89ee094f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bc85e0ae914e3a" /><Relationship Type="http://schemas.openxmlformats.org/officeDocument/2006/relationships/footer" Target="/word/footer1.xml" Id="Rde855f89ee094fa4" /></Relationships>
</file>