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c37be493d47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1282</w:t>
      </w:r>
    </w:p>
    <w:p>
      <w:pPr>
        <w:jc w:val="center"/>
        <w:spacing w:before="480" w:after="0" w:line="240"/>
      </w:pPr>
      <w:r>
        <w:t xml:space="preserve">Chapter </w:t>
      </w:r>
      <w:r>
        <w:rPr/>
        <w:t xml:space="preserve">344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BUILDING CONSTRUCTION AND RENOVATION—ENVIRONMENTAL AND LABOR REPORTING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1282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1282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Duerr, Hackney, Berry, Ramel, Doglio, Reed, and Pollet; by request of Department of Commerce)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reducing greenhouse gas emissions and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When available,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equivalent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2025, an awarding authority must require in all newly executed construction contracts that the selected firm for a construction contract for a covered project larger than 100,000 gross square feet submit the following data for each covered product used before substantial completion, including at a minimum:</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2027,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2025,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 including at a minimum:</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2027,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maintain, and refine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2025,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Two representatives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Three representatives from labor unions, including two from unions that represent manufacturing workers and one representative from the building and construction trades;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technical work group as described in this section.</w:t>
      </w:r>
    </w:p>
    <w:p>
      <w:pPr>
        <w:spacing w:before="0" w:after="0" w:line="408" w:lineRule="exact"/>
        <w:ind w:left="0" w:right="0" w:firstLine="576"/>
        <w:jc w:val="left"/>
      </w:pPr>
      <w:r>
        <w:rPr/>
        <w:t xml:space="preserve">(2) The department intends formation of subgroups with members who have subject matter expertise or industry experience to develop technical information, recommendations, and analysis specific to individual material types, and the feasibility of supply chain specific environmental product declarations. The recommendations must, where possible, align with state and national principles and laws for environmental product declaration development.</w:t>
      </w:r>
    </w:p>
    <w:p>
      <w:pPr>
        <w:spacing w:before="0" w:after="0" w:line="408" w:lineRule="exact"/>
        <w:ind w:left="0" w:right="0" w:firstLine="576"/>
        <w:jc w:val="left"/>
      </w:pPr>
      <w:r>
        <w:rPr/>
        <w:t xml:space="preserve">(3) The department may contract with the University of Washington college of built environments in convening the technical work group.</w:t>
      </w:r>
    </w:p>
    <w:p>
      <w:pPr>
        <w:spacing w:before="0" w:after="0" w:line="408" w:lineRule="exact"/>
        <w:ind w:left="0" w:right="0" w:firstLine="576"/>
        <w:jc w:val="left"/>
      </w:pPr>
      <w:r>
        <w:rPr/>
        <w:t xml:space="preserve">(4)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(5) By September 1, 2025,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additional information relevant to reducing embodied carbon through strategies including, but not limited to, product life-cycle assessments could be incorporated into future reporting.</w:t>
      </w:r>
    </w:p>
    <w:p>
      <w:pPr>
        <w:spacing w:before="0" w:after="0" w:line="408" w:lineRule="exact"/>
        <w:ind w:left="0" w:right="0" w:firstLine="576"/>
        <w:jc w:val="left"/>
      </w:pPr>
      <w:r>
        <w:rPr/>
        <w:t xml:space="preserve">(6)(a) By September 1, 2026, the technical work group must submit a report on policy recommendations, including any statutory changes needed, to the legislature and the governor. The report must consider policies to expand the use and production of low carbon materials, preserve and expand low carbon materials manufacturing in Washington, including opportunities to encourage continued conversion to lower carbon blended cements in public projects, and support living wage manufacturing jobs.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 and for aligning these reporting requirements with existing reporting requirements for preferential tax rates, credits, exemptions, and deferrals;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Make recommendations, if any, for changing or clarifying the definition of "actual production facilities" in section 2 of this act to better define and refine reporting and compliance obligations under chapter 39.--- RCW (the new chapter created in section 9 of this act);</w:t>
      </w:r>
    </w:p>
    <w:p>
      <w:pPr>
        <w:spacing w:before="0" w:after="0" w:line="408" w:lineRule="exact"/>
        <w:ind w:left="0" w:right="0" w:firstLine="576"/>
        <w:jc w:val="left"/>
      </w:pPr>
      <w:r>
        <w:rPr/>
        <w:t xml:space="preserve">(vi)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(viii) Recommend approaches to designing lower embodied carbon state building projects.</w:t>
      </w:r>
    </w:p>
    <w:p>
      <w:pPr>
        <w:spacing w:before="0" w:after="0" w:line="408" w:lineRule="exact"/>
        <w:ind w:left="0" w:right="0" w:firstLine="576"/>
        <w:jc w:val="left"/>
      </w:pPr>
      <w:r>
        <w:rPr/>
        <w:t xml:space="preserve">(7)(a) The department may update reporting standards and requirements based on input from the technical work group.</w:t>
      </w:r>
    </w:p>
    <w:p>
      <w:pPr>
        <w:spacing w:before="0" w:after="0" w:line="408" w:lineRule="exact"/>
        <w:ind w:left="0" w:right="0" w:firstLine="576"/>
        <w:jc w:val="left"/>
      </w:pPr>
      <w:r>
        <w:rPr/>
        <w:t xml:space="preserve">(b) The department must provide updated guidance on reporting standards by January 1, 2027.</w:t>
      </w:r>
    </w:p>
    <w:p>
      <w:pPr>
        <w:spacing w:before="0" w:after="0" w:line="408" w:lineRule="exact"/>
        <w:ind w:left="0" w:right="0" w:firstLine="576"/>
        <w:jc w:val="left"/>
      </w:pPr>
      <w:r>
        <w:rPr/>
        <w:t xml:space="preserve">(8)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96cebfaabe7b40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1282.SL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4f7822f204881" /><Relationship Type="http://schemas.openxmlformats.org/officeDocument/2006/relationships/footer" Target="/word/footer1.xml" Id="R96cebfaabe7b4033" /></Relationships>
</file>