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63e21947749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1289</w:t>
      </w:r>
    </w:p>
    <w:p>
      <w:pPr>
        <w:jc w:val="center"/>
        <w:spacing w:before="480" w:after="0" w:line="240"/>
      </w:pPr>
      <w:r>
        <w:t xml:space="preserve">Chapter </w:t>
      </w:r>
      <w:r>
        <w:rPr/>
        <w:t xml:space="preserve">176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OPPORTUNITY SCHOLARSHIP AND RURAL JOBS PROGRAMS—ADMINISTRATION</w:t>
      </w:r>
    </w:p>
    <w:p>
      <w:pPr>
        <w:spacing w:before="720" w:after="240" w:line="240" w:lineRule="exact"/>
        <w:ind w:left="0" w:right="0" w:firstLine="0"/>
        <w:jc w:val="center"/>
      </w:pPr>
      <w:r>
        <w:t xml:space="preserve">EFFECTIVE DATE: </w:t>
      </w:r>
      <w:r>
        <w:rPr/>
        <w:t xml:space="preserve">April 25,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Reed, Ybarra, Berry, Ortiz-Self, Riccelli, Paul, Reeves, Leavitt, and Timmons)</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 administration for the Washington state opportunity scholarship program; amending RCW 28B.145.010, 28B.145.020, 28B.145.040, 28B.145.100, and 28B.145.120; repealing RCW 28B.145.130;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2022 c 211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125,000.</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(8)(a) "Eligible student" means a resident student who:</w:t>
      </w:r>
    </w:p>
    <w:p>
      <w:pPr>
        <w:spacing w:before="0" w:after="0" w:line="408" w:lineRule="exact"/>
        <w:ind w:left="0" w:right="0" w:firstLine="576"/>
        <w:jc w:val="left"/>
      </w:pPr>
      <w:r>
        <w:rPr/>
        <w:t xml:space="preserve">(i)(A)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rPr/>
        <w:t xml:space="preserve">(B)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(C)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rPr/>
        <w:t xml:space="preserve">(D)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(ii)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(iii) Has a family income at or below 125 percent of the state median family income at the time the student applies for an opportunity scholarship. 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(15) "Program administrator" means </w:t>
      </w:r>
      <w:r>
        <w:t>((</w:t>
      </w:r>
      <w:r>
        <w:rPr>
          <w:strike/>
        </w:rPr>
        <w:t xml:space="preserve">a</w:t>
      </w:r>
      <w:r>
        <w:t>))</w:t>
      </w:r>
      <w:r>
        <w:rPr/>
        <w:t xml:space="preserve"> </w:t>
      </w:r>
      <w:r>
        <w:rPr>
          <w:u w:val="single"/>
        </w:rPr>
        <w:t xml:space="preserve">one or more</w:t>
      </w:r>
      <w:r>
        <w:rPr/>
        <w:t xml:space="preserve"> private nonprofit corporation</w:t>
      </w:r>
      <w:r>
        <w:rPr>
          <w:u w:val="single"/>
        </w:rPr>
        <w:t xml:space="preserve">s</w:t>
      </w:r>
      <w:r>
        <w:rPr/>
        <w:t xml:space="preserve">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means a student meeting the requirements under RCW 28B.92.200(5)(c) as defined in the Washington college grant program.</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2019 c 406 s 64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a</w:t>
      </w:r>
      <w:r>
        <w:t>))</w:t>
      </w:r>
      <w:r>
        <w:rPr/>
        <w:t xml:space="preserve"> </w:t>
      </w:r>
      <w:r>
        <w:rPr>
          <w:u w:val="single"/>
        </w:rPr>
        <w:t xml:space="preserve">one or more</w:t>
      </w:r>
      <w:r>
        <w:rPr/>
        <w:t xml:space="preserve"> program administrator</w:t>
      </w:r>
      <w:r>
        <w:rPr>
          <w:u w:val="single"/>
        </w:rPr>
        <w:t xml:space="preserve">s</w:t>
      </w:r>
      <w:r>
        <w:rPr/>
        <w:t xml:space="preserve">, under contract with the board and the council. </w:t>
      </w:r>
      <w:r>
        <w:rPr>
          <w:u w:val="single"/>
        </w:rPr>
        <w:t xml:space="preserve">The board may cause one or more tax-exempt nonprofit corporations to be created, organized, and operated exclusively to perform some or all of the program administrator duties under this act. The board and council may contract directly with any such nonprofit corporation.</w:t>
      </w:r>
    </w:p>
    <w:p>
      <w:pPr>
        <w:spacing w:before="0" w:after="0" w:line="408" w:lineRule="exact"/>
        <w:ind w:left="0" w:right="0" w:firstLine="576"/>
        <w:jc w:val="left"/>
      </w:pPr>
      <w:r>
        <w:rPr/>
        <w:t xml:space="preserve">(6) The purpose of the board is to provide oversight and guidance for the opportunity expansion program, the opportunity scholarship program,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w:t>
      </w:r>
      <w:r>
        <w:t>((</w:t>
      </w:r>
      <w:r>
        <w:rPr>
          <w:strike/>
        </w:rPr>
        <w:t xml:space="preserve">The state match must be based on donations and pledges received as</w:t>
      </w:r>
      <w:r>
        <w:t>))</w:t>
      </w:r>
      <w:r>
        <w:rPr/>
        <w:t xml:space="preserve"> </w:t>
      </w:r>
      <w:r>
        <w:rPr>
          <w:u w:val="single"/>
        </w:rPr>
        <w:t xml:space="preserve">(i) The state must provide an annual appropriation for a state match, on an equal dollar basis, not to exceed $50,000,000 per fiscal year.</w:t>
      </w:r>
    </w:p>
    <w:p>
      <w:pPr>
        <w:spacing w:before="0" w:after="0" w:line="408" w:lineRule="exact"/>
        <w:ind w:left="0" w:right="0" w:firstLine="576"/>
        <w:jc w:val="left"/>
      </w:pPr>
      <w:r>
        <w:rPr>
          <w:u w:val="single"/>
        </w:rPr>
        <w:t xml:space="preserve">(ii) Appropriations for the state match in the biennial omnibus operating appropriations act must be based on estimated donations and pledges for those fiscal years as reported by the board to the office of financial management as of the date each official state caseload forecast is submitted by the caseload forecast council to the legislative fiscal committees, as provided under RCW 43.88C.020.</w:t>
      </w:r>
    </w:p>
    <w:p>
      <w:pPr>
        <w:spacing w:before="0" w:after="0" w:line="408" w:lineRule="exact"/>
        <w:ind w:left="0" w:right="0" w:firstLine="576"/>
        <w:jc w:val="left"/>
      </w:pPr>
      <w:r>
        <w:rPr>
          <w:u w:val="single"/>
        </w:rPr>
        <w:t xml:space="preserve">(iii) Annually in the supplemental omnibus operating appropriations act, the state match must be adjusted to donations received and estimated pledges committed for the current fiscal biennium as reported by the board to the office of financial management as</w:t>
      </w:r>
      <w:r>
        <w:rPr/>
        <w:t xml:space="preserve"> of the date each official state caseload forecast is submitted by the caseload forecast council to the legislative fiscal committees, as provided under RCW 43.88C.020. </w:t>
      </w:r>
      <w:r>
        <w:rPr>
          <w:u w:val="single"/>
        </w:rPr>
        <w:t xml:space="preserve">Additionally, the state match for the current fiscal year must be adjusted to reflect the excess or deficit between donations and pledges actually received in the prior fiscal year and the state match provided in the prior fiscal year.</w:t>
      </w:r>
    </w:p>
    <w:p>
      <w:pPr>
        <w:spacing w:before="0" w:after="0" w:line="408" w:lineRule="exact"/>
        <w:ind w:left="0" w:right="0" w:firstLine="576"/>
        <w:jc w:val="left"/>
      </w:pPr>
      <w:r>
        <w:rPr>
          <w:u w:val="single"/>
        </w:rPr>
        <w:t xml:space="preserve">(iv)</w:t>
      </w:r>
      <w:r>
        <w:rPr/>
        <w:t xml:space="preserve">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t>((</w:t>
      </w:r>
      <w:r>
        <w:rPr>
          <w:strike/>
        </w:rPr>
        <w:t xml:space="preserve">(c)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2022 c 211 s 3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(d) The state </w:t>
      </w:r>
      <w:r>
        <w:t>((</w:t>
      </w:r>
      <w:r>
        <w:rPr>
          <w:strike/>
        </w:rPr>
        <w:t xml:space="preserve">match must be based on donations and pledges received</w:t>
      </w:r>
      <w:r>
        <w:t>))</w:t>
      </w:r>
      <w:r>
        <w:rPr/>
        <w:t xml:space="preserve"> </w:t>
      </w:r>
      <w:r>
        <w:rPr>
          <w:u w:val="single"/>
        </w:rPr>
        <w:t xml:space="preserve">must provide an annual appropriation for the state match, on an equal dollar basis, not to exceed $1,000,000 each fiscal biennium.</w:t>
      </w:r>
    </w:p>
    <w:p>
      <w:pPr>
        <w:spacing w:before="0" w:after="0" w:line="408" w:lineRule="exact"/>
        <w:ind w:left="0" w:right="0" w:firstLine="576"/>
        <w:jc w:val="left"/>
      </w:pPr>
      <w:r>
        <w:rPr>
          <w:u w:val="single"/>
        </w:rPr>
        <w:t xml:space="preserve">(i) Appropriations for the state match in the biennial omnibus operating appropriations act must be based on estimated donations and pledges for those fiscal years as reported by the board to the office of financial management as of the date each official state caseload forecast is submitted by the caseload forecast council to the legislative fiscal committees, as provided under RCW 43.88C.020.</w:t>
      </w:r>
    </w:p>
    <w:p>
      <w:pPr>
        <w:spacing w:before="0" w:after="0" w:line="408" w:lineRule="exact"/>
        <w:ind w:left="0" w:right="0" w:firstLine="576"/>
        <w:jc w:val="left"/>
      </w:pPr>
      <w:r>
        <w:rPr>
          <w:u w:val="single"/>
        </w:rPr>
        <w:t xml:space="preserve">(ii) Annually in the supplemental omnibus operating appropriations act, the state match must be adjusted to donations received and estimated pledges committed for the current fiscal biennium as reported by the board to the office of financial management</w:t>
      </w:r>
      <w:r>
        <w:rPr/>
        <w:t xml:space="preserve"> as of the date each official state caseload forecast is submitted by the caseload forecast council to the legislative fiscal committees</w:t>
      </w:r>
      <w:r>
        <w:rPr>
          <w:u w:val="single"/>
        </w:rPr>
        <w:t xml:space="preserve">,</w:t>
      </w:r>
      <w:r>
        <w:rPr/>
        <w:t xml:space="preserve"> as provided under RCW 43.88C.020. </w:t>
      </w:r>
      <w:r>
        <w:rPr>
          <w:u w:val="single"/>
        </w:rPr>
        <w:t xml:space="preserve">Additionally, the state match for the current fiscal year must be adjusted to reflect the excess or deficit between donations and pledges actually received in the prior fiscal year and the state match provided in the prior fiscal year.</w:t>
      </w:r>
    </w:p>
    <w:p>
      <w:pPr>
        <w:spacing w:before="0" w:after="0" w:line="408" w:lineRule="exact"/>
        <w:ind w:left="0" w:right="0" w:firstLine="576"/>
        <w:jc w:val="left"/>
      </w:pPr>
      <w:r>
        <w:rPr>
          <w:u w:val="single"/>
        </w:rPr>
        <w:t xml:space="preserve">(iii)</w:t>
      </w:r>
      <w:r>
        <w:rPr/>
        <w:t xml:space="preserve"> The purpose of this subsection (1)(d) is to ensure the predictable treatment of the program in the budget process by clarifying the calculation process of the state match required by this section and to ensure the program is budgeted at maintenance level.</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a resident of an eligible county;</w:t>
      </w:r>
    </w:p>
    <w:p>
      <w:pPr>
        <w:spacing w:before="0" w:after="0" w:line="408" w:lineRule="exact"/>
        <w:ind w:left="0" w:right="0" w:firstLine="576"/>
        <w:jc w:val="left"/>
      </w:pPr>
      <w:r>
        <w:rPr/>
        <w:t xml:space="preserve">(ii) Have attended and graduated from a school in an eligible school district; or</w:t>
      </w:r>
    </w:p>
    <w:p>
      <w:pPr>
        <w:spacing w:before="0" w:after="0" w:line="408" w:lineRule="exact"/>
        <w:ind w:left="0" w:right="0" w:firstLine="576"/>
        <w:jc w:val="left"/>
      </w:pPr>
      <w:r>
        <w:rPr/>
        <w:t xml:space="preserve">(iii) Be enrolled in either a community or technical college established under chapter 28B.50 RCW located in an eligible county or participating in an eligible registered apprenticeship program under chapter 28B.92 RCW in an eligible county;</w:t>
      </w:r>
    </w:p>
    <w:p>
      <w:pPr>
        <w:spacing w:before="0" w:after="0" w:line="408" w:lineRule="exact"/>
        <w:ind w:left="0" w:right="0" w:firstLine="576"/>
        <w:jc w:val="left"/>
      </w:pPr>
      <w:r>
        <w:rPr/>
        <w:t xml:space="preserve">(b) Be a resident student as defined in the Washington college grant program in RCW 28B.92.200(5)(c);</w:t>
      </w:r>
    </w:p>
    <w:p>
      <w:pPr>
        <w:spacing w:before="0" w:after="0" w:line="408" w:lineRule="exact"/>
        <w:ind w:left="0" w:right="0" w:firstLine="576"/>
        <w:jc w:val="left"/>
      </w:pPr>
      <w:r>
        <w:rPr/>
        <w:t xml:space="preserve">(c)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(d) Have a family income that does not exceed seventy percent of the state median family income adjusted for family size; and</w:t>
      </w:r>
    </w:p>
    <w:p>
      <w:pPr>
        <w:spacing w:before="0" w:after="0" w:line="408" w:lineRule="exact"/>
        <w:ind w:left="0" w:right="0" w:firstLine="576"/>
        <w:jc w:val="left"/>
      </w:pPr>
      <w:r>
        <w:rPr/>
        <w:t xml:space="preserve">(e)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meet satisfactory academic progress toward completion of an eligible program as established by the program. Rural jobs program eligibility may not extend beyond five years or 125 percent of the published length of the program in which the student is enrolled or the credit or clock-hour equivalent.</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120</w:t>
      </w:r>
      <w:r>
        <w:rPr/>
        <w:t xml:space="preserve"> and 2018 c 254 s 6 are each amended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RCW 28B.145.100.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student support pathways account, the state acts in a fiduciary rather than ownership capacity with regard to those assets. Assets in the student support pathways account are not considered state money, common cash, or revenue to the state.</w:t>
      </w:r>
    </w:p>
    <w:p>
      <w:pPr>
        <w:spacing w:before="0" w:after="0" w:line="408" w:lineRule="exact"/>
        <w:ind w:left="0" w:right="0" w:firstLine="576"/>
        <w:jc w:val="left"/>
      </w:pPr>
      <w:r>
        <w:t>((</w:t>
      </w:r>
      <w:r>
        <w:rPr>
          <w:strike/>
        </w:rPr>
        <w:t xml:space="preserve">(6) The state match must not exceed one million dollars in a single fiscal biennium and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130</w:t>
      </w:r>
      <w:r>
        <w:rPr/>
        <w:t xml:space="preserve"> (Rural jobs program</w:t>
      </w:r>
      <w:r>
        <w:rPr>
          <w:rFonts w:ascii="Times New Roman" w:hAnsi="Times New Roman"/>
        </w:rPr>
        <w:t xml:space="preserve">—</w:t>
      </w:r>
      <w:r>
        <w:rPr/>
        <w:t xml:space="preserve">State matching funds) and 2018 c 254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c2a140c78f4a4e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7ff98224d649c3" /><Relationship Type="http://schemas.openxmlformats.org/officeDocument/2006/relationships/footer" Target="/word/footer1.xml" Id="Rc2a140c78f4a4eff" /></Relationships>
</file>