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7ff70b5bc849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1357</w:t>
      </w:r>
    </w:p>
    <w:p>
      <w:pPr>
        <w:jc w:val="center"/>
        <w:spacing w:before="480" w:after="0" w:line="240"/>
      </w:pPr>
      <w:r>
        <w:t xml:space="preserve">Chapter </w:t>
      </w:r>
      <w:r>
        <w:rPr/>
        <w:t xml:space="preserve">382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HEALTH PLANS—PRIOR AUTHORIZATION</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4, which takes effect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1357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2:14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1357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Schmick, Stonier, Cortes, Reed, Bateman, Harris, Alvarado, Pollet, and Caldier)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48.43.0161; adding a new section to chapter 48.43 RCW; adding a new section to chapter 41.05 RCW; adding a new section to chapter 74.09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and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 Each carrier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carrier's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on or before September 1, 2024,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(e) By September 13, 2023, and at least every six months thereafter until September 13, 2026, the commissioner shall provide an update to the health care policy committees of the legislature on the development of rules and implementation guidance from the federal centers for medicare and medicaid services regarding the standards for development of application programming interfaces and interoperable electronic processes related to prior authorization functions. The updates should include recommendations, as appropriate, on whether the status of the federal rule development aligns with the provisions of this act. The commissioner also shall report on any actions by the federal centers for medicare and medicaid services to exercise enforcement discretion related to the implementation and maintenance of an application programming interface for prior authorization functions. The commissioner shall consult with the health care authority, carriers, providers, and consumers on the development of these updates and any recommendations.</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and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 Each health plan offered to public employees, retirees, and their covered dependents under this chapter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health plan's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on or before September 1, 2024,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0" w:after="0" w:line="408" w:lineRule="exact"/>
        <w:ind w:left="0" w:right="0" w:firstLine="576"/>
        <w:jc w:val="left"/>
      </w:pPr>
      <w:r>
        <w:rPr/>
        <w:t xml:space="preserve">(5) This section shall not apply to coverage provided under the medicare part C or part D programs set forth in Title XVIII of the social security act of 1965,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and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 Each managed care organization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(iii) Indicate that a prior authorization denial or authorization of a drug other than the one included in the original prior authorization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(a)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on or before September 1, 2024,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 or 74.09.490.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3791ad858aea44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e294cdcb44542" /><Relationship Type="http://schemas.openxmlformats.org/officeDocument/2006/relationships/footer" Target="/word/footer1.xml" Id="R3791ad858aea4412" /></Relationships>
</file>