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d1630bc37249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1544</w:t>
      </w:r>
    </w:p>
    <w:p>
      <w:pPr>
        <w:jc w:val="center"/>
        <w:spacing w:before="480" w:after="0" w:line="240"/>
      </w:pPr>
      <w:r>
        <w:t xml:space="preserve">Chapter </w:t>
      </w:r>
      <w:r>
        <w:rPr/>
        <w:t xml:space="preserve">80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SHORELINE MASTER PROGRAMS—REVIEW SCHEDULE</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2, which takes effect July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1544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Alvarado, Tharinger, Pollet, and Duerr</w:t>
      </w:r>
    </w:p>
    <w:p/>
    <w:p>
      <w:r>
        <w:rPr>
          <w:t xml:space="preserve">Read first time 01/24/23.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shoreline master program review schedules; amending RCW 90.58.080 and 90.58.080;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10</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10</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10</w:t>
      </w:r>
      <w:r>
        <w:rPr/>
        <w:t xml:space="preserve"> years thereafter, for Benton, Chelan, Cowlitz, Douglas, Grant,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10</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2028</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2029</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2030</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2031</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b9da11a079ad4f5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c6e5a42ac4b35" /><Relationship Type="http://schemas.openxmlformats.org/officeDocument/2006/relationships/footer" Target="/word/footer1.xml" Id="Rb9da11a079ad4f5d" /></Relationships>
</file>