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fa5449cac44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1559</w:t>
      </w:r>
    </w:p>
    <w:p>
      <w:pPr>
        <w:jc w:val="center"/>
        <w:spacing w:before="480" w:after="0" w:line="240"/>
      </w:pPr>
      <w:r>
        <w:t xml:space="preserve">Chapter </w:t>
      </w:r>
      <w:r>
        <w:rPr/>
        <w:t xml:space="preserve">421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STUDENT BASIC NEEDS—PUBLIC POSTSECONDARY INSTITUTIONS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55</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Entenman, Fitzgibbon, Stonier, Paul, Riccelli, Bergquist, Pollet,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basic needs at public postsecondary institutions act;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institution of higher education, the university campuses created under chapter 28B.45 RCW, and the tribal college must have a minimum of one benefits navigator employed at a minimum .75 full-time equivalent rate, not to be divided between two or more staff, to assist students in accessing public benefits, existing emergency assistance programs such as those funded by RCW 28B.50.295, and other community resources. Each benefits navigator must be stationed at a single location on campus where students are directed to receive assistance. The institutions of higher education and the tribal college, in coordination with the respective benefits navigators, must each develop a hunger-free and basic needs campus strategic plan by April 1, 2024. Each strategic plan must:</w:t>
      </w:r>
    </w:p>
    <w:p>
      <w:pPr>
        <w:spacing w:before="0" w:after="0" w:line="408" w:lineRule="exact"/>
        <w:ind w:left="0" w:right="0" w:firstLine="576"/>
        <w:jc w:val="left"/>
      </w:pPr>
      <w:r>
        <w:rPr/>
        <w:t xml:space="preserve">(a)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(b)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(c) Assess the needs and advantages of the benefits navigators;</w:t>
      </w:r>
    </w:p>
    <w:p>
      <w:pPr>
        <w:spacing w:before="0" w:after="0" w:line="408" w:lineRule="exact"/>
        <w:ind w:left="0" w:right="0" w:firstLine="576"/>
        <w:jc w:val="left"/>
      </w:pPr>
      <w:r>
        <w:rPr/>
        <w:t xml:space="preserve">(d)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(e) Facilitate discussions and generate recommendations amongst community stakeholders on the basic needs of the institution's geographic postsecondary student population; and</w:t>
      </w:r>
    </w:p>
    <w:p>
      <w:pPr>
        <w:spacing w:before="0" w:after="0" w:line="408" w:lineRule="exact"/>
        <w:ind w:left="0" w:right="0" w:firstLine="576"/>
        <w:jc w:val="left"/>
      </w:pPr>
      <w:r>
        <w:rPr/>
        <w:t xml:space="preserve">(f) Assess the distribution of state funds for basic needs support provided to institutions of higher education and the tribal college.</w:t>
      </w:r>
    </w:p>
    <w:p>
      <w:pPr>
        <w:spacing w:before="0" w:after="0" w:line="408" w:lineRule="exact"/>
        <w:ind w:left="0" w:right="0" w:firstLine="576"/>
        <w:jc w:val="left"/>
      </w:pPr>
      <w:r>
        <w:rPr/>
        <w:t xml:space="preserve">(2) By the beginning of the 2024-25 academic year, the Washington student achievement council must collect and disseminate results of a student survey developed by the student achievement council, in collaboration with the state board for community and technical colleges and an organization representing the presidents of the public four-year institutions of higher education, to assess food security, housing security, and access to basic economic supports. Results from the survey may be used by the institutions of higher education and the tribal college. Existing survey tools may be used for this purpose.</w:t>
      </w:r>
    </w:p>
    <w:p>
      <w:pPr>
        <w:spacing w:before="0" w:after="0" w:line="408" w:lineRule="exact"/>
        <w:ind w:left="0" w:right="0" w:firstLine="576"/>
        <w:jc w:val="left"/>
      </w:pPr>
      <w:r>
        <w:rPr/>
        <w:t xml:space="preserve">(3) Public four-year institutions of higher education and their respective university campuses shall coordinate with an organization representing the presidents of the public four-year institutions to submit a report that must include outcomes from implementation of benefits navigators and findings and activities from their respective hunger-free and basic needs campus strategic plans. The community and technical colleges shall coordinate with the state board for community and technical colleges to submit a report that must include outcomes from implementation of benefits navigators and findings and activities from their respective hunger-free and basic needs campus strategic plans. The organizations representing the presidents of the public four-year institutions and the state board for community and technical colleges must submit the reports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tribal college shall submit a report that must include the findings and activities from implementation of the benefits navigator and findings and activities from the hunger-free and basic needs campus strategic plan. The tribal college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has the same meaning as in RCW 28B.10.016.</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(d)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2023.</w:t>
      </w:r>
    </w:p>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4328bf6b8d1e47d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e6b3a824a496e" /><Relationship Type="http://schemas.openxmlformats.org/officeDocument/2006/relationships/footer" Target="/word/footer1.xml" Id="R4328bf6b8d1e47d4" /></Relationships>
</file>