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877d0ca254e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1578</w:t>
      </w:r>
    </w:p>
    <w:p>
      <w:pPr>
        <w:jc w:val="center"/>
        <w:spacing w:before="480" w:after="0" w:line="240"/>
      </w:pPr>
      <w:r>
        <w:t xml:space="preserve">Chapter </w:t>
      </w:r>
      <w:r>
        <w:rPr/>
        <w:t xml:space="preserve">385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WILDFIRES—HEALTH AND SAFETY IMPACTS—PLANNING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Springer, Kretz, Reeves, Leavitt, Ramel, Lekanoff, Reed, Pollet, and Kloba; by request of Department of Natural Resources)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community preparedness, response, recovery, and resilience to wildland fire health and safety impacts in areas of increasing population density, including in the wildland urban interface; adding a new section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response is engaging relevant evacuation and emergency response plans. A key priority in wildfire recovery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federally recognized Indian tribes to develop strategies to address wildfire risk. The department must provide the first risk assessment to the appropriate committees of the legislature by July 1, 2027, covering a risk assessment period of July 1, 2027, through June 30, 2037. A subsequent decadal assessment is due to the appropriate committees of the legislature every 10 years thereafter. The department must also provide a mid-decade interim report to the appropriate committees of the legislature by July 1, 2032, and every 10 years thereafter.</w:t>
      </w:r>
    </w:p>
    <w:p>
      <w:pPr>
        <w:spacing w:before="0" w:after="0" w:line="408" w:lineRule="exact"/>
        <w:ind w:left="0" w:right="0" w:firstLine="576"/>
        <w:jc w:val="left"/>
      </w:pPr>
      <w:r>
        <w:rPr/>
        <w:t xml:space="preserve">(b) The department must coordinate with counties on an update to wildland urban interface maps consistent with RCW 43.30.580.</w:t>
      </w:r>
    </w:p>
    <w:p>
      <w:pPr>
        <w:spacing w:before="0" w:after="0" w:line="408" w:lineRule="exact"/>
        <w:ind w:left="0" w:right="0" w:firstLine="576"/>
        <w:jc w:val="left"/>
      </w:pPr>
      <w:r>
        <w:rPr/>
        <w:t xml:space="preserve">(2) The department, in consultation with the Washington military department emergency management division and the Washington state patrol, must cooperate with law enforcement, federally recognized Indian tribes, emergency managers at the city and county level,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and preparedness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plans developed under chapter 38.52 RCW. The department shall incorporate smoke readiness into community resilience programming and coordinate with state, county, federal agencies, and federally recognized Indian tribes to collaboratively share information and guidance for Washington communities affected by wildfire smoke. This includes providing updated wildfire information to air quality and health agencies and to the public through online information sources.</w:t>
      </w:r>
    </w:p>
    <w:p>
      <w:pPr>
        <w:spacing w:before="0" w:after="0" w:line="408" w:lineRule="exact"/>
        <w:ind w:left="0" w:right="0" w:firstLine="576"/>
        <w:jc w:val="left"/>
      </w:pPr>
      <w:r>
        <w:rPr/>
        <w:t xml:space="preserve">(i) The department shall coordinate cross-agency and shall provide information to assess wildland fire smoke risks and impacts. Activities may include:</w:t>
      </w:r>
    </w:p>
    <w:p>
      <w:pPr>
        <w:spacing w:before="0" w:after="0" w:line="408" w:lineRule="exact"/>
        <w:ind w:left="0" w:right="0" w:firstLine="576"/>
        <w:jc w:val="left"/>
      </w:pPr>
      <w:r>
        <w:rPr/>
        <w:t xml:space="preserve">(A) Coordinating with the department of ecology, local clean air agencies, and the United States forest service to deploy temporary air monitors to assess smoke conditions during wildfires;</w:t>
      </w:r>
    </w:p>
    <w:p>
      <w:pPr>
        <w:spacing w:before="0" w:after="0" w:line="408" w:lineRule="exact"/>
        <w:ind w:left="0" w:right="0" w:firstLine="576"/>
        <w:jc w:val="left"/>
      </w:pPr>
      <w:r>
        <w:rPr/>
        <w:t xml:space="preserve">(B) Providing information to the department of ecology to continue to improve smoke modeling and forecasting tools and support regulatory compliance;</w:t>
      </w:r>
    </w:p>
    <w:p>
      <w:pPr>
        <w:spacing w:before="0" w:after="0" w:line="408" w:lineRule="exact"/>
        <w:ind w:left="0" w:right="0" w:firstLine="576"/>
        <w:jc w:val="left"/>
      </w:pPr>
      <w:r>
        <w:rPr/>
        <w:t xml:space="preserve">(C) Advancing science and conducting research on wildfire smoke event recurrence geographically, based on different forest types and incorporating this research into planning efforts; and</w:t>
      </w:r>
    </w:p>
    <w:p>
      <w:pPr>
        <w:spacing w:before="0" w:after="0" w:line="408" w:lineRule="exact"/>
        <w:ind w:left="0" w:right="0" w:firstLine="576"/>
        <w:jc w:val="left"/>
      </w:pPr>
      <w:r>
        <w:rPr/>
        <w:t xml:space="preserve">(D) Information dissemination to the public through online information sources.</w:t>
      </w:r>
    </w:p>
    <w:p>
      <w:pPr>
        <w:spacing w:before="0" w:after="0" w:line="408" w:lineRule="exact"/>
        <w:ind w:left="0" w:right="0" w:firstLine="576"/>
        <w:jc w:val="left"/>
      </w:pPr>
      <w:r>
        <w:rPr/>
        <w:t xml:space="preserve">(ii) The provisions of this section may not impact or prevent the implementation of prescribed burns to improve forest health and resiliency and reduce wildfire risks.</w:t>
      </w:r>
    </w:p>
    <w:p>
      <w:pPr>
        <w:spacing w:before="0" w:after="0" w:line="408" w:lineRule="exact"/>
        <w:ind w:left="0" w:right="0" w:firstLine="576"/>
        <w:jc w:val="left"/>
      </w:pPr>
      <w:r>
        <w:rPr/>
        <w:t xml:space="preserve">(iii) The department shall work cross-agency to address smoke risk to transportation safety and firefighter exposure to smoke.</w:t>
      </w:r>
    </w:p>
    <w:p>
      <w:pPr>
        <w:spacing w:before="0" w:after="0" w:line="408" w:lineRule="exact"/>
        <w:ind w:left="0" w:right="0" w:firstLine="576"/>
        <w:jc w:val="left"/>
      </w:pPr>
      <w:r>
        <w:rPr/>
        <w:t xml:space="preserve">(iv) The department, in collaboration with the departments of health and ecology, shall conduct community engagement and outreach related to wildfire smoke risks and impacts, particularly in regions of the state that experience disproportionately high levels of air contaminants and pollutants. Particular emphasis in outreach will be focused on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(d) By July 1, 2028,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state agencies, and the public both for preparedness and response; and</w:t>
      </w:r>
    </w:p>
    <w:p>
      <w:pPr>
        <w:spacing w:before="0" w:after="0" w:line="408" w:lineRule="exact"/>
        <w:ind w:left="0" w:right="0" w:firstLine="576"/>
        <w:jc w:val="left"/>
      </w:pPr>
      <w:r>
        <w:rPr/>
        <w:t xml:space="preserve">(e) By December 30, 2027, have established a structure for a state sponsored burned area emergency stabilization and response team and make recommendations regarding the appropriate number of teams needed, the funding necessary to support team deployments, and the implementation of hazard mitigation. The department shall provide capacity-building to local communities to establish local teams. The purpose of the burned area emergency stabilization and response team is to determine the need for emergency postfire treatments for public safety and resource protection. The department must consult with emergency managers, the military department, and the Washington conservation commission when developing the organizational structure of the teams established in this section.</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0" w:after="0" w:line="408" w:lineRule="exact"/>
        <w:ind w:left="0" w:right="0" w:firstLine="576"/>
        <w:jc w:val="left"/>
      </w:pPr>
      <w:r>
        <w:rPr/>
        <w:t xml:space="preserve">(6) Until July 1, 2025, the assessments and reports required by this section are only intended to assist with improving community preparedness, response, recovery, and resilience to wildland fires and are not intended and may not be used in the development of, or as the basis of, any regulations by a state agency or a local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704281da741e43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7c401564b4b4b" /><Relationship Type="http://schemas.openxmlformats.org/officeDocument/2006/relationships/footer" Target="/word/footer1.xml" Id="R704281da741e4378" /></Relationships>
</file>