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44ee7183e943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1600</w:t>
      </w:r>
    </w:p>
    <w:p>
      <w:pPr>
        <w:jc w:val="center"/>
        <w:spacing w:before="480" w:after="0" w:line="240"/>
      </w:pPr>
      <w:r>
        <w:t xml:space="preserve">Chapter </w:t>
      </w:r>
      <w:r>
        <w:rPr/>
        <w:t xml:space="preserve">180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SEALED JUVENILE RECORDS—USE FOR FIREARM BACKGROUND CHECKS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Berry, Ramel, and Pollet; by request of Washington State Patrol)</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sealed juvenile records for firearm purposes; amending RCW 13.50.260;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u w:val="single"/>
        </w:rPr>
        <w:t xml:space="preserve">(e) The Washington state patrol shall ensure that the Washington state identification system provides non-Washington criminal justice agencies access to sealed juvenile records only for the purposes of processing and purchasing firearms, concealed pistol licenses, or alien firearms licenses, or releasing of firearms from evidence.</w:t>
      </w:r>
    </w:p>
    <w:p>
      <w:pPr>
        <w:spacing w:before="0" w:after="0" w:line="408" w:lineRule="exact"/>
        <w:ind w:left="0" w:right="0" w:firstLine="576"/>
        <w:jc w:val="left"/>
      </w:pPr>
      <w:r>
        <w:rPr>
          <w:u w:val="single"/>
        </w:rPr>
        <w:t xml:space="preserve">(f) Non-Washington criminal justice agencies that access sealed juvenile records pursuant to this subsection shall not knowingly disseminate the accessed records or any information derived therefrom to any third party. Dissemination of such records or such information shall subject the disseminating agency to the jurisdiction of the courts of Washington and a civil penalty of not more than $1,000 per violation.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w:t>
      </w:r>
      <w:r>
        <w:rPr>
          <w:u w:val="single"/>
        </w:rPr>
        <w:t xml:space="preserve">,</w:t>
      </w:r>
      <w:r>
        <w:rPr/>
        <w:t xml:space="preserve"> other than </w:t>
      </w:r>
      <w:r>
        <w:t>((</w:t>
      </w:r>
      <w:r>
        <w:rPr>
          <w:strike/>
        </w:rPr>
        <w:t xml:space="preserve">Washington state</w:t>
      </w:r>
      <w:r>
        <w:t>))</w:t>
      </w:r>
      <w:r>
        <w:rPr/>
        <w:t xml:space="preserve"> criminal justice agencies</w:t>
      </w:r>
      <w:r>
        <w:rPr>
          <w:u w:val="single"/>
        </w:rPr>
        <w:t xml:space="preserve">,</w:t>
      </w:r>
      <w:r>
        <w:rPr/>
        <w:t xml:space="preserve"> about the existence or nonexistence of confidential or sealed records concerning an individual.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5c5612ce44af41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973e79b0d4a27" /><Relationship Type="http://schemas.openxmlformats.org/officeDocument/2006/relationships/footer" Target="/word/footer1.xml" Id="R5c5612ce44af41c8" /></Relationships>
</file>