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776f127054a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1636</w:t>
      </w:r>
    </w:p>
    <w:p>
      <w:pPr>
        <w:jc w:val="center"/>
        <w:spacing w:before="480" w:after="0" w:line="240"/>
      </w:pPr>
      <w:r>
        <w:t xml:space="preserve">Chapter </w:t>
      </w:r>
      <w:r>
        <w:rPr/>
        <w:t xml:space="preserve">214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COMMON INTEREST COMMUNITIES—PAST-DUE ASSESSMENTS—FORECLOSURES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2, 4, 6, and 8, which take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Orwall, Walsh, and Timmons</w:t>
      </w:r>
    </w:p>
    <w:p/>
    <w:p>
      <w:r>
        <w:rPr>
          <w:t xml:space="preserve">Read first time 01/27/23.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64.32.200, 64.32.200, 64.34.364, 64.34.364, 64.38.100, 64.38.100, 64.90.485, and 64.90.485; amending 2021 c 222 ss 9 and 10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3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120" w:line="408" w:lineRule="exact"/>
        <w:ind w:left="0" w:right="0" w:firstLine="576"/>
        <w:jc w:val="left"/>
      </w:pPr>
      <w:r>
        <w:rPr>
          <w:strike/>
        </w:rPr>
        <w:t xml:space="preserve">Telephone: . . . . . . . Website: . . . . . .</w:t>
      </w:r>
    </w:p>
    <w:p>
      <w:pPr>
        <w:spacing w:before="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7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576"/>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9</w:t>
      </w:r>
      <w:r>
        <w:rPr/>
        <w:t xml:space="preserve"> (uncodified) is amended to read as follows:</w:t>
      </w:r>
    </w:p>
    <w:p>
      <w:pPr>
        <w:spacing w:before="0" w:after="0" w:line="408" w:lineRule="exact"/>
        <w:ind w:left="0" w:right="0" w:firstLine="576"/>
        <w:jc w:val="left"/>
      </w:pPr>
      <w:r>
        <w:rPr/>
        <w:t xml:space="preserve">Sections 1, 3, 5, and 7 of this act expire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10</w:t>
      </w:r>
      <w:r>
        <w:rPr/>
        <w:t xml:space="preserve"> (uncodified) is amended to read as follows:</w:t>
      </w:r>
    </w:p>
    <w:p>
      <w:pPr>
        <w:spacing w:before="0" w:after="0" w:line="408" w:lineRule="exact"/>
        <w:ind w:left="0" w:right="0" w:firstLine="576"/>
        <w:jc w:val="left"/>
      </w:pPr>
      <w:r>
        <w:rPr/>
        <w:t xml:space="preserve">Sections 2, 4, 6, and 8 of this act take effect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442efb8e57ec41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faa0cd55a478a" /><Relationship Type="http://schemas.openxmlformats.org/officeDocument/2006/relationships/footer" Target="/word/footer1.xml" Id="R442efb8e57ec4188" /></Relationships>
</file>