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2a1e6c11940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1684</w:t>
      </w:r>
    </w:p>
    <w:p>
      <w:pPr>
        <w:jc w:val="center"/>
        <w:spacing w:before="480" w:after="0" w:line="240"/>
      </w:pPr>
      <w:r>
        <w:t xml:space="preserve">Chapter </w:t>
      </w:r>
      <w:r>
        <w:rPr/>
        <w:t xml:space="preserve">256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UNEMPLOYMENT INSURANCE—JOB TITLE REPORTING—TRIBES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69</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Slatter and Lekanoff</w:t>
      </w:r>
    </w:p>
    <w:p/>
    <w:p>
      <w:r>
        <w:rPr>
          <w:t xml:space="preserve">Read first time 01/31/23.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federally recognized tribes to report standard occupational classifications or job titles of workers under the employment security act; and amending RCW 50.12.070.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2020 c 334 s 2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w:t>
      </w:r>
      <w:r>
        <w:rPr>
          <w:u w:val="single"/>
        </w:rPr>
        <w:t xml:space="preserve">(i)</w:t>
      </w:r>
      <w:r>
        <w:rPr/>
        <w:t xml:space="preserve">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the standard occupational classification or job title of each worker, and the total hours worked by each worker and such other information as the commissioner may by regulation prescribe. Reporting the standard occupational classification or job title of each worker is optional for employers until October 1, 2022.</w:t>
      </w:r>
    </w:p>
    <w:p>
      <w:pPr>
        <w:spacing w:before="0" w:after="0" w:line="408" w:lineRule="exact"/>
        <w:ind w:left="0" w:right="0" w:firstLine="576"/>
        <w:jc w:val="left"/>
      </w:pPr>
      <w:r>
        <w:rPr>
          <w:u w:val="single"/>
        </w:rPr>
        <w:t xml:space="preserve">(ii) A federally recognized tribe may elect to report the standard occupational classifications or job titles of workers. If a federally recognized tribe elects to report standard occupational classifications or job titles, it retains the option to opt out of reporting at any time for any reason it deems necessary. The department shall adopt rules to implement this subsection (2)(a)(ii).</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6fee3bf84e1e4a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3618c7e1c44b8" /><Relationship Type="http://schemas.openxmlformats.org/officeDocument/2006/relationships/footer" Target="/word/footer1.xml" Id="R6fee3bf84e1e4a0b" /></Relationships>
</file>