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20492af57a46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1715</w:t>
      </w:r>
    </w:p>
    <w:p>
      <w:pPr>
        <w:jc w:val="center"/>
        <w:spacing w:before="480" w:after="0" w:line="240"/>
      </w:pPr>
      <w:r>
        <w:t xml:space="preserve">Chapter </w:t>
      </w:r>
      <w:r>
        <w:rPr/>
        <w:t xml:space="preserve">462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DOMESTIC VIOLENCE—VARIOUS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91</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42</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3:05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Davis, Mosbrucker, Duerr, Griffey, Walen, Lekanoff, Morgan, Callan, Ramel, Thai, Rule, Ryu, Kloba, Chopp, Pollet, Chapman, Mena, Cortes, Eslick, Bergquist, and Fey)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comprehensive protections for victims of domestic violence and other violence involving family members or intimate partners; amending RCW 7.105.155, 7.105.255, 10.99.033, 10.99.040, 9.41.340, 9.41.345, 9.41.801, 9.41.804, 7.105.340, 10.21.050, 40.24.030, 42.17A.710, 9.41.800, and 10.31.100; adding a new section to chapter 2.56 RCW; adding a new section to chapter 7.105 RCW; adding a new section to chapter 43.330 RCW; adding a new section to chapter 28B.20 RCW; adding a new section to chapter 43.101 RCW; and creating a new section.</w:t>
      </w:r>
    </w:p>
    <w:p>
      <w:r>
        <w:t/>
      </w:r>
    </w:p>
    <w:p>
      <w:r>
        <w:t>BE IT ENACTED BY THE LEGISLATURE OF THE STATE OF WASHINGTON:</w:t>
      </w:r>
    </w:p>
    <w:p>
      <w:pPr>
        <w:spacing w:before="240" w:after="0" w:line="408" w:lineRule="exact"/>
        <w:ind w:left="0" w:right="0" w:firstLine="576"/>
        <w:jc w:val="center"/>
      </w:pPr>
      <w:r>
        <w:rPr>
          <w:b/>
        </w:rPr>
        <w:t xml:space="preserve">Part I. Electronic Monitoring with Victim Notification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by June 1, 2024, the Washington courts' board for judicial administration must develop model standards:</w:t>
      </w:r>
    </w:p>
    <w:p>
      <w:pPr>
        <w:spacing w:before="0" w:after="0" w:line="408" w:lineRule="exact"/>
        <w:ind w:left="0" w:right="0" w:firstLine="576"/>
        <w:jc w:val="left"/>
      </w:pPr>
      <w:r>
        <w:rPr/>
        <w:t xml:space="preserve">(a) Establishing best practices for the operation of electronic monitoring with victim notification technology by monitoring agencies, with the goal of improving victim safety;</w:t>
      </w:r>
    </w:p>
    <w:p>
      <w:pPr>
        <w:spacing w:before="0" w:after="0" w:line="408" w:lineRule="exact"/>
        <w:ind w:left="0" w:right="0" w:firstLine="576"/>
        <w:jc w:val="left"/>
      </w:pPr>
      <w:r>
        <w:rPr/>
        <w:t xml:space="preserve">(b) Establishing protocols for implementing court orders that include electronic monitoring with victim notification, including protocols for the installation and removal of monitoring devices to ensure uninterrupted monitoring services following release from detainment or incarceration; and</w:t>
      </w:r>
    </w:p>
    <w:p>
      <w:pPr>
        <w:spacing w:before="0" w:after="0" w:line="408" w:lineRule="exact"/>
        <w:ind w:left="0" w:right="0" w:firstLine="576"/>
        <w:jc w:val="left"/>
      </w:pPr>
      <w:r>
        <w:rPr/>
        <w:t xml:space="preserve">(c) Establishing any additional requirements necessary to promote compliance with RCW 2.56.260 and 9.94A.736, which may include, but not be limited to, training requirements for court officials, peace officers, 911 dispatchers, local corrections officers and staff, and other appropriate practitioners.</w:t>
      </w:r>
    </w:p>
    <w:p>
      <w:pPr>
        <w:spacing w:before="0" w:after="0" w:line="408" w:lineRule="exact"/>
        <w:ind w:left="0" w:right="0" w:firstLine="576"/>
        <w:jc w:val="left"/>
      </w:pPr>
      <w:r>
        <w:rPr/>
        <w:t xml:space="preserve">(2) In developing the standards required under this section, the Washington courts' board for judicial administration must solicit input from courts of general and limited jurisdiction, local governments, monitoring agencies, and statewide associations representing law enforcement leaders, prosecutors, the department of corrections, domestic violence victims, and domestic violence agencies.</w:t>
      </w:r>
    </w:p>
    <w:p>
      <w:pPr>
        <w:spacing w:before="0" w:after="0" w:line="408" w:lineRule="exact"/>
        <w:ind w:left="0" w:right="0" w:firstLine="576"/>
        <w:jc w:val="left"/>
      </w:pPr>
      <w:r>
        <w:rPr/>
        <w:t xml:space="preserve">(3) Subject to funds appropriated for this specific purpose, the Washington courts' board for judicial administration must develop a model policy on electronic monitoring with victim notification technology based on best practices where the technology is being currently used in Washington. Each law enforcement agency in the state must adopt its own policy based on the model policy.</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"Electronic monitoring" has the meaning provided in RCW 9.94A.030; and</w:t>
      </w:r>
    </w:p>
    <w:p>
      <w:pPr>
        <w:spacing w:before="0" w:after="0" w:line="408" w:lineRule="exact"/>
        <w:ind w:left="0" w:right="0" w:firstLine="576"/>
        <w:jc w:val="left"/>
      </w:pPr>
      <w:r>
        <w:rPr/>
        <w:t xml:space="preserve">(b) "Monitoring agency" has the meaning provided in RCW 9.94A.736.</w:t>
      </w:r>
    </w:p>
    <w:p>
      <w:pPr>
        <w:spacing w:before="240" w:after="0" w:line="408" w:lineRule="exact"/>
        <w:ind w:left="0" w:right="0" w:firstLine="576"/>
        <w:jc w:val="center"/>
      </w:pPr>
      <w:r>
        <w:rPr>
          <w:b/>
        </w:rPr>
        <w:t xml:space="preserve">Part II. Civil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2022 c 268 s 10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the confidential information form, as well as the petition for a protection order and any supporting materials, electronically forwarded on or before the next judicial day to the law enforcement agency in the county or municipality where the respondent resides, as specified in the order, for service upon the respondent. If the respondent has moved from that county or municipality and personal service is not required, the law enforcement agency specified in the order may serve the order;</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t>
      </w:r>
      <w:r>
        <w:t>((</w:t>
      </w:r>
      <w:r>
        <w:rPr>
          <w:strike/>
        </w:rPr>
        <w:t xml:space="preserve">whenever practicable, but not more than five days after receiving the order</w:t>
      </w:r>
      <w:r>
        <w:t>))</w:t>
      </w:r>
      <w:r>
        <w:rPr/>
        <w:t xml:space="preserve"> </w:t>
      </w:r>
      <w:r>
        <w:rPr>
          <w:u w:val="single"/>
        </w:rPr>
        <w:t xml:space="preserve">unless an emergency situation renders the service infeasible. If an emergency situation prevents a first attempt at service within 24 hours, law enforcement must attempt service as soon as possible</w:t>
      </w:r>
      <w:r>
        <w:rPr/>
        <w:t xml:space="preserve">. If the first attempt is not successful, no fewer than two additional attempts should be made to serve the order, particularly for respondents who present heightened risk of lethality or other risk of physical harm to the petitioner or petitioner's family or household members. All attempts at service must be documented on a proof of service form and submitted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w:t>
      </w:r>
      <w:r>
        <w:t>((</w:t>
      </w:r>
      <w:r>
        <w:rPr>
          <w:strike/>
        </w:rPr>
        <w:t xml:space="preserve">his or her</w:t>
      </w:r>
      <w:r>
        <w:t>))</w:t>
      </w:r>
      <w:r>
        <w:rPr/>
        <w:t xml:space="preserve"> </w:t>
      </w:r>
      <w:r>
        <w:rPr>
          <w:u w:val="single"/>
        </w:rPr>
        <w:t xml:space="preserve">the respondent's</w:t>
      </w:r>
      <w:r>
        <w:rPr/>
        <w:t xml:space="preserve"> return is a violation of the terms of the order. The law enforcement officer shall provide the respondent with copies of all forms with the exception of the confidential information form completed by the protected party and the proof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proof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proof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2022 c 268 s 15 are each amended to read as follows:</w:t>
      </w:r>
    </w:p>
    <w:p>
      <w:pPr>
        <w:spacing w:before="0" w:after="0" w:line="408" w:lineRule="exact"/>
        <w:ind w:left="0" w:right="0" w:firstLine="576"/>
        <w:jc w:val="left"/>
      </w:pPr>
      <w:r>
        <w:rPr>
          <w:u w:val="single"/>
        </w:rPr>
        <w:t xml:space="preserve">(1)</w:t>
      </w:r>
      <w:r>
        <w:rPr/>
        <w:t xml:space="preserve"> 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evidence-based training on procedural justice, trauma-informed practices, gender-based violence dynamics, coercive control, elder abuse, juvenile sex offending, teen dating violence, </w:t>
      </w:r>
      <w:r>
        <w:rPr>
          <w:u w:val="single"/>
        </w:rPr>
        <w:t xml:space="preserve">domestic violence homicide prevention,</w:t>
      </w:r>
      <w:r>
        <w:rPr/>
        <w:t xml:space="preserve"> and requirements </w:t>
      </w:r>
      <w:r>
        <w:rPr>
          <w:u w:val="single"/>
        </w:rPr>
        <w:t xml:space="preserve">and best practices</w:t>
      </w:r>
      <w:r>
        <w:rPr/>
        <w:t xml:space="preserve">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0" w:after="0" w:line="408" w:lineRule="exact"/>
        <w:ind w:left="0" w:right="0" w:firstLine="576"/>
        <w:jc w:val="left"/>
      </w:pPr>
      <w:r>
        <w:rPr>
          <w:u w:val="single"/>
        </w:rPr>
        <w:t xml:space="preserve">(2) Subject to funds appropriated for this specific purpose, the administrative office of the courts shall develop training for judicial officers on the topics listed in subsection (1) of this section, which must be provided free of charge to judicial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legislature recognizes the inherent volatility and danger associated with domestic violence, particularly when the court has made a finding that an ex parte order to surrender and prohibit weapons is necessary. The risk of domestic violence homicide is most acute when a victim is ending the relationship and throughout legal proceedings. The presence of a firearm in a domestic violence situation increases the risk of homicide by 11 times. The legislature acknowledges the potential for judicial or administrative error in hearings on full protection orders and the significant consequences that can result from such errors. In recognition of the potential for error, the legislature has previously established in RCW 2.24.050 that decisions of court commissioners are subject to revision and the courts have created processes for reconsideration of rulings. Therefore, in any proceeding in which the court enters a temporary protection order that includes a temporary order to surrender and prohibit weapons, and after the hearing the court denies the petition for a full protection order, the order to surrender and prohibit weapons must remain in effect until the period for a petitioner to file a motion for reconsideration or revision has passed. If a motion for reconsideration or revision is filed, the order to surrender and prohibit weapons must remain in effect until the motion for reconsideration or revision is resolved.</w:t>
      </w:r>
    </w:p>
    <w:p>
      <w:pPr>
        <w:spacing w:before="0" w:after="0" w:line="408" w:lineRule="exact"/>
        <w:ind w:left="0" w:right="0" w:firstLine="576"/>
        <w:jc w:val="left"/>
      </w:pPr>
      <w:r>
        <w:rPr/>
        <w:t xml:space="preserve">(2) At the hearing in which the court denies the petition for a full protection order, if the petitioner is present, the court must notify the petitioner verbally of the procedures and timelines for filing a motion for reconsideration or a motion for revision. The court must provide the petitioner with written information explaining the procedures and timelines for filing a motion for reconsideration or a motion for revision. The information must also include contact information for civil legal aid organizations that may assist the petitioner with a motion for reconsideration or a motion for revision.</w:t>
      </w:r>
    </w:p>
    <w:p>
      <w:pPr>
        <w:spacing w:before="0" w:after="0" w:line="408" w:lineRule="exact"/>
        <w:ind w:left="0" w:right="0" w:firstLine="576"/>
        <w:jc w:val="left"/>
      </w:pPr>
      <w:r>
        <w:rPr/>
        <w:t xml:space="preserve">(3) Subsections (1) and (2) of this section do not apply if allowing the order to surrender and prohibit weapons to remain in effect would be manifestly unjust including, but not limited to, situations where the court finds the temporary protection order was entirely without merit, the petitioner was engaged in abusive use of litigation, or the petitioner was exerting coercive control, as defined in RCW 7.105.010, over the respondent.</w:t>
      </w:r>
    </w:p>
    <w:p>
      <w:pPr>
        <w:spacing w:before="240" w:after="0" w:line="408" w:lineRule="exact"/>
        <w:ind w:left="0" w:right="0" w:firstLine="576"/>
        <w:jc w:val="center"/>
      </w:pPr>
      <w:r>
        <w:rPr>
          <w:b/>
        </w:rPr>
        <w:t xml:space="preserve">Part III. Domestic Violence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u w:val="single"/>
        </w:rPr>
        <w:t xml:space="preserve">(5) Subject to funds appropriated for this specific purpose:</w:t>
      </w:r>
    </w:p>
    <w:p>
      <w:pPr>
        <w:spacing w:before="0" w:after="0" w:line="408" w:lineRule="exact"/>
        <w:ind w:left="0" w:right="0" w:firstLine="576"/>
        <w:jc w:val="left"/>
      </w:pPr>
      <w:r>
        <w:rPr>
          <w:u w:val="single"/>
        </w:rPr>
        <w:t xml:space="preserve">(a) The curriculum required in subsection (2) of this section must include trauma-informed investigation and interviewing skills, domestic violence homicide prevention, the intersection of firearms and domestic violence, best practices for serving and enforcing protection orders, and assistance to and services for victims and children; and</w:t>
      </w:r>
    </w:p>
    <w:p>
      <w:pPr>
        <w:spacing w:before="0" w:after="0" w:line="408" w:lineRule="exact"/>
        <w:ind w:left="0" w:right="0" w:firstLine="576"/>
        <w:jc w:val="left"/>
      </w:pPr>
      <w:r>
        <w:rPr>
          <w:u w:val="single"/>
        </w:rPr>
        <w:t xml:space="preserve">(b) The in-service training program required in subsection (3) of this section must include training on domestic violence homicide prevention, the intersection of firearms and domestic violence, best practices for serving and enforcing protection orders, and assistance to and services for victims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w:t>
      </w:r>
      <w:r>
        <w:t>((</w:t>
      </w:r>
      <w:r>
        <w:rPr>
          <w:strike/>
        </w:rPr>
        <w:t xml:space="preserve">his or her</w:t>
      </w:r>
      <w:r>
        <w:t>))</w:t>
      </w:r>
      <w:r>
        <w:rPr/>
        <w:t xml:space="preserve"> </w:t>
      </w:r>
      <w:r>
        <w:rPr>
          <w:u w:val="single"/>
        </w:rPr>
        <w:t xml:space="preserve">the attorney's</w:t>
      </w:r>
      <w:r>
        <w:rPr/>
        <w:t xml:space="preserve">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 and</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w:t>
      </w:r>
      <w:r>
        <w:t>((</w:t>
      </w:r>
      <w:r>
        <w:rPr>
          <w:strike/>
        </w:rPr>
        <w:t xml:space="preserve">protective</w:t>
      </w:r>
      <w:r>
        <w:t>))</w:t>
      </w:r>
      <w:r>
        <w:rPr/>
        <w:t xml:space="preserve"> </w:t>
      </w:r>
      <w:r>
        <w:rPr>
          <w:u w:val="single"/>
        </w:rPr>
        <w:t xml:space="preserve">protection</w:t>
      </w:r>
      <w:r>
        <w:rPr/>
        <w:t xml:space="preser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w:t>
      </w:r>
      <w:r>
        <w:t>((</w:t>
      </w:r>
      <w:r>
        <w:rPr>
          <w:strike/>
        </w:rPr>
        <w:t xml:space="preserve">reimburse the providing agency for</w:t>
      </w:r>
      <w:r>
        <w:t>))</w:t>
      </w:r>
      <w:r>
        <w:rPr/>
        <w:t xml:space="preserve"> </w:t>
      </w:r>
      <w:r>
        <w:rPr>
          <w:u w:val="single"/>
        </w:rPr>
        <w:t xml:space="preserve">pay</w:t>
      </w:r>
      <w:r>
        <w:rPr/>
        <w:t xml:space="preserve"> the costs of the electronic monitoring. </w:t>
      </w:r>
      <w:r>
        <w:rPr>
          <w:u w:val="single"/>
        </w:rPr>
        <w:t xml:space="preserve">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240" w:after="0" w:line="408" w:lineRule="exact"/>
        <w:ind w:left="0" w:right="0" w:firstLine="576"/>
        <w:jc w:val="center"/>
      </w:pPr>
      <w:r>
        <w:rPr>
          <w:b/>
        </w:rPr>
        <w:t xml:space="preserve">Part IV. Firearms and Dangerous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2020 c 29 s 5 are each amended to read as follows:</w:t>
      </w:r>
    </w:p>
    <w:p>
      <w:pPr>
        <w:spacing w:before="0" w:after="0" w:line="408" w:lineRule="exact"/>
        <w:ind w:left="0" w:right="0" w:firstLine="576"/>
        <w:jc w:val="left"/>
      </w:pPr>
      <w:r>
        <w:rPr/>
        <w:t xml:space="preserve">(1)</w:t>
      </w:r>
      <w:r>
        <w:rPr>
          <w:u w:val="single"/>
        </w:rPr>
        <w:t xml:space="preserve">(a)</w:t>
      </w:r>
      <w:r>
        <w:rPr/>
        <w:t xml:space="preserve"> Each law enforcement agency shall develop a notification protocol that </w:t>
      </w:r>
      <w:r>
        <w:t>((</w:t>
      </w:r>
      <w:r>
        <w:rPr>
          <w:strike/>
        </w:rPr>
        <w:t xml:space="preserve">allows</w:t>
      </w:r>
      <w:r>
        <w:t>))</w:t>
      </w:r>
      <w:r>
        <w:rPr/>
        <w:t xml:space="preserve"> </w:t>
      </w:r>
      <w:r>
        <w:rPr>
          <w:u w:val="single"/>
        </w:rPr>
        <w:t xml:space="preserve">:</w:t>
      </w:r>
    </w:p>
    <w:p>
      <w:pPr>
        <w:spacing w:before="0" w:after="0" w:line="408" w:lineRule="exact"/>
        <w:ind w:left="0" w:right="0" w:firstLine="576"/>
        <w:jc w:val="left"/>
      </w:pPr>
      <w:r>
        <w:rPr>
          <w:u w:val="single"/>
        </w:rPr>
        <w:t xml:space="preserve">(i) Allows</w:t>
      </w:r>
      <w:r>
        <w:rPr/>
        <w:t xml:space="preserve"> a family or household member or intimate partner to use an incident or case number to request to be notified when a law enforcement agency returns a privately owned firearm to the individual from whom it was obtained or to an authorized representative of that person</w:t>
      </w:r>
      <w:r>
        <w:rPr>
          <w:u w:val="single"/>
        </w:rPr>
        <w:t xml:space="preserve">; and</w:t>
      </w:r>
    </w:p>
    <w:p>
      <w:pPr>
        <w:spacing w:before="0" w:after="0" w:line="408" w:lineRule="exact"/>
        <w:ind w:left="0" w:right="0" w:firstLine="576"/>
        <w:jc w:val="left"/>
      </w:pPr>
      <w:r>
        <w:rPr>
          <w:u w:val="single"/>
        </w:rPr>
        <w:t xml:space="preserve">(ii) Requires notification to any person identified in a no-contact order, restraining order, or protection order and any identified victim of the crime that resulted in the firearm surrender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(b)(i)</w:t>
      </w:r>
      <w:r>
        <w:rPr/>
        <w:t xml:space="preserve"> Notification may be made via telephone, email, text message, or another method that allows notification to be provided without unnecessary delay.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a law enforcement agency is in possession of more than one privately owned firearm from </w:t>
      </w:r>
      <w:r>
        <w:t>((</w:t>
      </w:r>
      <w:r>
        <w:rPr>
          <w:strike/>
        </w:rPr>
        <w:t xml:space="preserve">a single person</w:t>
      </w:r>
      <w:r>
        <w:t>))</w:t>
      </w:r>
      <w:r>
        <w:rPr/>
        <w:t xml:space="preserve"> </w:t>
      </w:r>
      <w:r>
        <w:rPr>
          <w:u w:val="single"/>
        </w:rPr>
        <w:t xml:space="preserve">an individual</w:t>
      </w:r>
      <w:r>
        <w:rPr/>
        <w:t xml:space="preserve">, notification relating to the return of one firearm shall be considered notification for all privately owned firearms for that person.</w:t>
      </w:r>
    </w:p>
    <w:p>
      <w:pPr>
        <w:spacing w:before="0" w:after="0" w:line="408" w:lineRule="exact"/>
        <w:ind w:left="0" w:right="0" w:firstLine="576"/>
        <w:jc w:val="left"/>
      </w:pPr>
      <w:r>
        <w:rPr/>
        <w:t xml:space="preserve">(2) A law enforcement agency shall not provide notification to any party other than </w:t>
      </w:r>
      <w:r>
        <w:t>((</w:t>
      </w:r>
      <w:r>
        <w:rPr>
          <w:strike/>
        </w:rPr>
        <w:t xml:space="preserve">a family or household member or intimate partner who has an incident or case number and who has requested to be notified pursuant to this section or</w:t>
      </w:r>
      <w:r>
        <w:t>))</w:t>
      </w:r>
      <w:r>
        <w:rPr/>
        <w:t xml:space="preserve"> another criminal justice agency </w:t>
      </w:r>
      <w:r>
        <w:rPr>
          <w:u w:val="single"/>
        </w:rPr>
        <w:t xml:space="preserve">or as authorized or required under subsection (1) of this section</w:t>
      </w:r>
      <w:r>
        <w:rPr/>
        <w:t xml:space="preserve">.</w:t>
      </w:r>
    </w:p>
    <w:p>
      <w:pPr>
        <w:spacing w:before="0" w:after="0" w:line="408" w:lineRule="exact"/>
        <w:ind w:left="0" w:right="0" w:firstLine="576"/>
        <w:jc w:val="left"/>
      </w:pPr>
      <w:r>
        <w:rPr/>
        <w:t xml:space="preserve">(3) The information provided by a family or household member or intimate partner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w:t>
      </w:r>
      <w:r>
        <w:t>((</w:t>
      </w:r>
      <w:r>
        <w:rPr>
          <w:strike/>
        </w:rPr>
        <w:t xml:space="preserve">and</w:t>
      </w:r>
      <w:r>
        <w:t>))</w:t>
      </w:r>
    </w:p>
    <w:p>
      <w:pPr>
        <w:spacing w:before="0" w:after="0" w:line="408" w:lineRule="exact"/>
        <w:ind w:left="0" w:right="0" w:firstLine="576"/>
        <w:jc w:val="left"/>
      </w:pPr>
      <w:r>
        <w:rPr/>
        <w:t xml:space="preserve">(d) Ensure that </w:t>
      </w:r>
      <w:r>
        <w:t>((</w:t>
      </w:r>
      <w:r>
        <w:rPr>
          <w:strike/>
        </w:rPr>
        <w:t xml:space="preserve">twenty-four hours</w:t>
      </w:r>
      <w:r>
        <w:t>))</w:t>
      </w:r>
      <w:r>
        <w:rPr/>
        <w:t xml:space="preserve"> </w:t>
      </w:r>
      <w:r>
        <w:rPr>
          <w:u w:val="single"/>
        </w:rPr>
        <w:t xml:space="preserve">five business days</w:t>
      </w:r>
      <w:r>
        <w:rPr/>
        <w:t xml:space="preserve"> have elapsed from the time the firearm was obtained by law enforcement</w:t>
      </w:r>
      <w:r>
        <w:t>((</w:t>
      </w:r>
      <w:r>
        <w:rPr>
          <w:strike/>
        </w:rPr>
        <w:t xml:space="preserve">, unless the firearm was seized in connection with a domestic violence call pursuant to RCW 10.99.030, in which case the law enforcement agency must ensure that five business days have elapsed from the time the firearm was obtained</w:t>
      </w:r>
      <w:r>
        <w:t>))</w:t>
      </w:r>
      <w:r>
        <w:rPr>
          <w:u w:val="single"/>
        </w:rPr>
        <w:t xml:space="preserve">; and</w:t>
      </w:r>
    </w:p>
    <w:p>
      <w:pPr>
        <w:spacing w:before="0" w:after="0" w:line="408" w:lineRule="exact"/>
        <w:ind w:left="0" w:right="0" w:firstLine="576"/>
        <w:jc w:val="left"/>
      </w:pPr>
      <w:r>
        <w:rPr>
          <w:u w:val="single"/>
        </w:rPr>
        <w:t xml:space="preserve">(e) If a family or household member or intimate partner has requested notification under RCW 9.41.340(1)(a)(i), or notification to an identified victim or protected person is required per RCW 9.41.340(1)(a)(ii), provide notice to the appropriate person within one business day of verifying that the requirements in (a) through (c) of this subsection have been met</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w:t>
      </w:r>
      <w:r>
        <w:t>((</w:t>
      </w:r>
      <w:r>
        <w:rPr>
          <w:strike/>
        </w:rPr>
        <w:t xml:space="preserve">his or her</w:t>
      </w:r>
      <w:r>
        <w:t>))</w:t>
      </w:r>
      <w:r>
        <w:rPr/>
        <w:t xml:space="preserve"> </w:t>
      </w:r>
      <w:r>
        <w:rPr>
          <w:u w:val="single"/>
        </w:rPr>
        <w:t xml:space="preserve">the</w:t>
      </w:r>
      <w:r>
        <w:rPr/>
        <w:t xml:space="preserve">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w:t>
      </w:r>
      <w:r>
        <w:t>((</w:t>
      </w:r>
      <w:r>
        <w:rPr>
          <w:strike/>
        </w:rPr>
        <w:t xml:space="preserve">a family or household member or intimate partner has requested to be notified pursuant to RCW 9.41.340</w:t>
      </w:r>
      <w:r>
        <w:t>))</w:t>
      </w:r>
      <w:r>
        <w:rPr/>
        <w:t xml:space="preserve"> </w:t>
      </w:r>
      <w:r>
        <w:rPr>
          <w:u w:val="single"/>
        </w:rPr>
        <w:t xml:space="preserve">notification is required under RCW 9.41.340(1)(a) (i) or (ii)</w:t>
      </w:r>
      <w:r>
        <w:rPr/>
        <w:t xml:space="preserve">, a law enforcement agency must</w:t>
      </w:r>
      <w:r>
        <w:t>((</w:t>
      </w:r>
      <w:r>
        <w:rPr>
          <w:strike/>
        </w:rPr>
        <w:t xml:space="preserve">:</w:t>
      </w:r>
    </w:p>
    <w:p>
      <w:pPr>
        <w:spacing w:before="0" w:after="0" w:line="408" w:lineRule="exact"/>
        <w:ind w:left="0" w:right="0" w:firstLine="576"/>
        <w:jc w:val="left"/>
      </w:pPr>
      <w:r>
        <w:rPr>
          <w:strike/>
        </w:rPr>
        <w:t xml:space="preserve">(a) Provide notice to the family or household member or intimate partner within one business day of verifying that the requirements in subsection (1) of this section have been met; and</w:t>
      </w:r>
    </w:p>
    <w:p>
      <w:pPr>
        <w:spacing w:before="0" w:after="0" w:line="408" w:lineRule="exact"/>
        <w:ind w:left="0" w:right="0" w:firstLine="576"/>
        <w:jc w:val="left"/>
      </w:pPr>
      <w:r>
        <w:rPr>
          <w:strike/>
        </w:rPr>
        <w:t xml:space="preserve">(b) Hold</w:t>
      </w:r>
      <w:r>
        <w:t>))</w:t>
      </w:r>
      <w:r>
        <w:rPr/>
        <w:t xml:space="preserve"> </w:t>
      </w:r>
      <w:r>
        <w:rPr>
          <w:u w:val="single"/>
        </w:rPr>
        <w:t xml:space="preserve">hold</w:t>
      </w:r>
      <w:r>
        <w:rPr/>
        <w:t xml:space="preserve"> the firearm in custody for </w:t>
      </w:r>
      <w:r>
        <w:t>((</w:t>
      </w:r>
      <w:r>
        <w:rPr>
          <w:strike/>
        </w:rPr>
        <w:t xml:space="preserve">seventy-two hours</w:t>
      </w:r>
      <w:r>
        <w:t>))</w:t>
      </w:r>
      <w:r>
        <w:rPr/>
        <w:t xml:space="preserve"> </w:t>
      </w:r>
      <w:r>
        <w:rPr>
          <w:u w:val="single"/>
        </w:rPr>
        <w:t xml:space="preserve">five business days</w:t>
      </w:r>
      <w:r>
        <w:rPr/>
        <w:t xml:space="preserve"> from the time notification has been provided </w:t>
      </w:r>
      <w:r>
        <w:rPr>
          <w:u w:val="single"/>
        </w:rPr>
        <w:t xml:space="preserve">or information has been entered</w:t>
      </w:r>
      <w:r>
        <w:rPr/>
        <w:t xml:space="preserve">.</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w:t>
      </w:r>
      <w:r>
        <w:rPr>
          <w:u w:val="single"/>
        </w:rPr>
        <w:t xml:space="preserve">or 10.99.100</w:t>
      </w:r>
      <w:r>
        <w:rPr/>
        <w:t xml:space="preserve">,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w:t>
      </w:r>
      <w:r>
        <w:rPr>
          <w:u w:val="single"/>
        </w:rPr>
        <w:t xml:space="preserve">(a)</w:t>
      </w:r>
      <w:r>
        <w:rPr/>
        <w:t xml:space="preserve"> Courts shall develop procedures to verify timely and complete compliance with orders to surrender and prohibit weapons under RCW 9.41.800 </w:t>
      </w:r>
      <w:r>
        <w:rPr>
          <w:u w:val="single"/>
        </w:rPr>
        <w:t xml:space="preserve">or 10.99.100</w:t>
      </w:r>
      <w:r>
        <w:rPr/>
        <w:t xml:space="preserve">, including compliance review hearings to be held as soon as possible upon receipt from law enforcement of proof of service. </w:t>
      </w:r>
      <w:r>
        <w:t>((</w:t>
      </w:r>
      <w:r>
        <w:rPr>
          <w:strike/>
        </w:rPr>
        <w:t xml:space="preserve">A compliance review hearing is not required if the court can otherwise enter findings on the record or enter written findings that the proof of surrender or declaration of nonsurrender</w:t>
      </w:r>
      <w:r>
        <w:t>))</w:t>
      </w:r>
      <w:r>
        <w:rPr/>
        <w:t xml:space="preserve"> </w:t>
      </w:r>
      <w:r>
        <w:rPr>
          <w:u w:val="single"/>
        </w:rPr>
        <w:t xml:space="preserve">For any case where the court has indication that the respondent has in the respondent's possession, custody, or control firearms, dangerous weapons, or a concealed pistol license, a compliance review hearing shall be held. A compliance review hearing may be waived by the court or held at a later date if the information</w:t>
      </w:r>
      <w:r>
        <w:rPr/>
        <w:t xml:space="preserve">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w:t>
      </w:r>
      <w:r>
        <w:rPr>
          <w:u w:val="single"/>
        </w:rPr>
        <w:t xml:space="preserve">, and the court is able to make a finding of compliance</w:t>
      </w:r>
      <w:r>
        <w:rPr/>
        <w:t xml:space="preserve">. If the court does not have a sufficient record before it on which to make such a finding, the court must set a review hearing to occur as soon as possible </w:t>
      </w:r>
      <w:r>
        <w:t>((</w:t>
      </w:r>
      <w:r>
        <w:rPr>
          <w:strike/>
        </w:rPr>
        <w:t xml:space="preserve">at which the</w:t>
      </w:r>
      <w:r>
        <w:t>))</w:t>
      </w:r>
      <w:r>
        <w:rPr/>
        <w:t xml:space="preserve"> </w:t>
      </w:r>
      <w:r>
        <w:rPr>
          <w:u w:val="single"/>
        </w:rPr>
        <w:t xml:space="preserve">and service by law enforcement shall be prioritized to minimize the time during which the respondent could access their firearms, dangerous weapons, or concealed pistol license. The</w:t>
      </w:r>
      <w:r>
        <w:rPr/>
        <w:t xml:space="preserv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u w:val="single"/>
        </w:rPr>
        <w:t xml:space="preserve">(b) In making its findings regarding compliance, the court should also consider any available department of licensing and Washington state patrol firearm records; for criminal cases, the police report and any documentation of firearms, or their recovery pursuant to RCW 10.99.030(3)(a); and for civil protection order cases, the protection order narrative, any sections of the protection order petition that specifically reference or inquire about firearms and other dangerous weapons, any attachments to the protection order petition, any affidavits from law enforcement or the petitioner in response to a respondent's declaration regarding firearm surrender, or other relevant evidence regarding firearms, dangerous weapons, or a concealed pistol license in the person's custody, control, or possession.</w:t>
      </w:r>
    </w:p>
    <w:p>
      <w:pPr>
        <w:spacing w:before="0" w:after="0" w:line="408" w:lineRule="exact"/>
        <w:ind w:left="0" w:right="0" w:firstLine="576"/>
        <w:jc w:val="left"/>
      </w:pPr>
      <w:r>
        <w:rPr>
          <w:u w:val="single"/>
        </w:rPr>
        <w:t xml:space="preserve">(c) If the court is considering waiving or delaying the compliance review hearing, the petitioner, law enforcement, or the state or city attorney may request that the compliance hearing be held, if there is reasonable suspicion to believe that the respondent has not surrendered all firearms, dangerous weapons, and any concealed pistol license, or is otherwise out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w:t>
      </w:r>
      <w:r>
        <w:rPr>
          <w:u w:val="single"/>
        </w:rPr>
        <w:t xml:space="preserve">issue an arrest warrant and</w:t>
      </w:r>
      <w:r>
        <w:rPr/>
        <w:t xml:space="preserve"> initiate a contempt proceeding to impose remedial sanctions on its own motion, or upon the motion of the prosecutor, city attorney, or the petitioner's counsel, and issue an order requiring the respondent to appear, </w:t>
      </w:r>
      <w:r>
        <w:rPr>
          <w:u w:val="single"/>
        </w:rPr>
        <w:t xml:space="preserve">with additional sanctions for failure to appear,</w:t>
      </w:r>
      <w:r>
        <w:rPr/>
        <w:t xml:space="preserve">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w:t>
      </w:r>
      <w:r>
        <w:t>((</w:t>
      </w:r>
      <w:r>
        <w:rPr>
          <w:strike/>
        </w:rPr>
        <w:t xml:space="preserve">the</w:t>
      </w:r>
      <w:r>
        <w:t>))</w:t>
      </w:r>
      <w:r>
        <w:rPr/>
        <w:t xml:space="preserve"> </w:t>
      </w:r>
      <w:r>
        <w:rPr>
          <w:u w:val="single"/>
        </w:rPr>
        <w:t xml:space="preserve">an</w:t>
      </w:r>
      <w:r>
        <w:rPr/>
        <w:t xml:space="preserv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order to surrender and prohibit weapons </w:t>
      </w:r>
      <w:r>
        <w:t>((</w:t>
      </w:r>
      <w:r>
        <w:rPr>
          <w:strike/>
        </w:rPr>
        <w:t xml:space="preserve">issued in connection with another type of protection order</w:t>
      </w:r>
      <w:r>
        <w:t>))</w:t>
      </w:r>
      <w:r>
        <w:rPr/>
        <w:t xml:space="preserve">.</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w:t>
      </w:r>
      <w:r>
        <w:t>((</w:t>
      </w:r>
      <w:r>
        <w:rPr>
          <w:strike/>
        </w:rPr>
        <w:t xml:space="preserve">An order to surrender and prohibit weapons issued pursuant to RCW 9.41.800 must state that the</w:t>
      </w:r>
      <w:r>
        <w:t>))</w:t>
      </w:r>
      <w:r>
        <w:rPr/>
        <w:t xml:space="preserve"> </w:t>
      </w:r>
      <w:r>
        <w:rPr>
          <w:u w:val="single"/>
        </w:rPr>
        <w:t xml:space="preserve">The</w:t>
      </w:r>
      <w:r>
        <w:rPr/>
        <w:t xml:space="preserve"> act of voluntarily surrendering firearms or weapons, </w:t>
      </w:r>
      <w:r>
        <w:t>((</w:t>
      </w:r>
      <w:r>
        <w:rPr>
          <w:strike/>
        </w:rPr>
        <w:t xml:space="preserve">or</w:t>
      </w:r>
      <w:r>
        <w:t>))</w:t>
      </w:r>
      <w:r>
        <w:rPr/>
        <w:t xml:space="preserve"> providing testimony relating to the surrender of firearms or weapons, </w:t>
      </w:r>
      <w:r>
        <w:t>((</w:t>
      </w:r>
      <w:r>
        <w:rPr>
          <w:strike/>
        </w:rPr>
        <w:t xml:space="preserve">pursuant to such an order,</w:t>
      </w:r>
      <w:r>
        <w:t>))</w:t>
      </w:r>
      <w:r>
        <w:rPr/>
        <w:t xml:space="preserve"> </w:t>
      </w:r>
      <w:r>
        <w:rPr>
          <w:u w:val="single"/>
        </w:rPr>
        <w:t xml:space="preserve">or complying with an order to surrender and prohibit weapons issued pursuant to RCW 9.41.800 or 10.99.100, and any information directly or indirectly derived from such act or testimony,</w:t>
      </w:r>
      <w:r>
        <w:rPr/>
        <w:t xml:space="preserve"> may not be used against the </w:t>
      </w:r>
      <w:r>
        <w:t>((</w:t>
      </w:r>
      <w:r>
        <w:rPr>
          <w:strike/>
        </w:rPr>
        <w:t xml:space="preserve">respondent</w:t>
      </w:r>
      <w:r>
        <w:t>))</w:t>
      </w:r>
      <w:r>
        <w:rPr/>
        <w:t xml:space="preserve"> </w:t>
      </w:r>
      <w:r>
        <w:rPr>
          <w:u w:val="single"/>
        </w:rPr>
        <w:t xml:space="preserve">person subject to the order</w:t>
      </w:r>
      <w:r>
        <w:rPr/>
        <w:t xml:space="preserve"> in any criminal prosecution under this chapter, chapter 7.105 RCW, or RCW 9A.56.310</w:t>
      </w:r>
      <w:r>
        <w:rPr>
          <w:u w:val="single"/>
        </w:rPr>
        <w:t xml:space="preserve">, or in any criminal prosecution pursuant to which such order to surrender and prohibit weapons was issued, except a prosecution for perjury, giving a false statement, or otherwise failing to comply with the order. Every such order issued subsequent to the effective date of this section shall contain language consistent with the statutory immunity set forth in this subsection.</w:t>
      </w:r>
    </w:p>
    <w:p>
      <w:pPr>
        <w:spacing w:before="0" w:after="0" w:line="408" w:lineRule="exact"/>
        <w:ind w:left="0" w:right="0" w:firstLine="576"/>
        <w:jc w:val="left"/>
      </w:pPr>
      <w:r>
        <w:rPr>
          <w:u w:val="single"/>
        </w:rPr>
        <w:t xml:space="preserve">(b) If a person subject to such an order invokes the privilege against self-incrimination at the time of issuance of the order or at a subsequent hearing, the court may afford the person subject to the order an opportunity to demonstrate that compliance with the surrender provision of the order would expose that person to a realistic threat of self-incrimination in a subsequent or pending criminal proceeding. The court may conduct this portion of the proceeding ex parte or receive evidence in camera, without the presence of the prosecuting attorney, after the court conducts an analysis under </w:t>
      </w:r>
      <w:r>
        <w:rPr>
          <w:i/>
          <w:u w:val="single"/>
        </w:rPr>
        <w:t xml:space="preserve">State v. Bone-Club</w:t>
      </w:r>
      <w:r>
        <w:rPr>
          <w:u w:val="single"/>
        </w:rPr>
        <w:t xml:space="preserve">, 128 wn.2d 254, and concludes that the courtroom may be closed.</w:t>
      </w:r>
    </w:p>
    <w:p>
      <w:pPr>
        <w:spacing w:before="0" w:after="0" w:line="408" w:lineRule="exact"/>
        <w:ind w:left="0" w:right="0" w:firstLine="576"/>
        <w:jc w:val="left"/>
      </w:pPr>
      <w:r>
        <w:rPr>
          <w:u w:val="single"/>
        </w:rPr>
        <w:t xml:space="preserve">(c) If the person subject to the order establishes such a realistic threat of self-incrimination regarding possible criminal prosecution that is not addressed by the immunity from prosecution set forth in (a) of this subsection, the court shall afford the relevant prosecuting attorney an opportunity to offer an immunity agreement tailored specifically to the firearms or weapons implicated by the potential self-incrimination. To achieve the purposes of this section, any immunity offered should be narrowly tailored to address any realistic threat of self-incrimination while ensuring that any other firearms not implicated are surrendered.</w:t>
      </w:r>
    </w:p>
    <w:p>
      <w:pPr>
        <w:spacing w:before="0" w:after="0" w:line="408" w:lineRule="exact"/>
        <w:ind w:left="0" w:right="0" w:firstLine="576"/>
        <w:jc w:val="left"/>
      </w:pPr>
      <w:r>
        <w:rPr>
          <w:u w:val="single"/>
        </w:rPr>
        <w:t xml:space="preserve">(d) Any immunity from prosecution beyond the immunity set forth in (a) of this subsection, may only be extended by the prosecuting attorney. If the prosecuting attorney declines to extend immunity such that the person subject to the order cannot fully comply with its surrender provision without facing a realistic threat of self-incrimination, the court's order must provide for the surrender of every firearm, dangerous weapon, and concealed pistol license that does not implicate a realistic threat of self-incrimination. The order's prohibitions regarding accessing, purchasing, receiving, or attempting to purchase or receive, any firearms or other dangerous weapons, or concealed pistol license, remain in effect.</w:t>
      </w:r>
    </w:p>
    <w:p>
      <w:pPr>
        <w:spacing w:before="0" w:after="0" w:line="408" w:lineRule="exact"/>
        <w:ind w:left="0" w:right="0" w:firstLine="576"/>
        <w:jc w:val="left"/>
      </w:pPr>
      <w:r>
        <w:rPr>
          <w:u w:val="single"/>
        </w:rPr>
        <w:t xml:space="preserve">(e) Nothing in this section shall be interpreted as diminishing the requirement that the person subject to the order fully comply with the order issued by the court. The burden remains on the person subject to the order to prove compliance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(10)</w:t>
      </w:r>
      <w:r>
        <w:rPr/>
        <w:t xml:space="preserve">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w:t>
      </w:r>
      <w:r>
        <w:rPr>
          <w:u w:val="single"/>
        </w:rPr>
        <w:t xml:space="preserve">ex parte and full</w:t>
      </w:r>
      <w:r>
        <w:rPr/>
        <w:t xml:space="preserve"> orders issued under this chapter by each court, </w:t>
      </w:r>
      <w:r>
        <w:t>((</w:t>
      </w:r>
      <w:r>
        <w:rPr>
          <w:strike/>
        </w:rPr>
        <w:t xml:space="preserve">the degree of compliance, and the number of firearms obtained, and may make recommendations regarding additional procedures</w:t>
      </w:r>
      <w:r>
        <w:t>))</w:t>
      </w:r>
      <w:r>
        <w:rPr/>
        <w:t xml:space="preserve"> </w:t>
      </w:r>
      <w:r>
        <w:rPr>
          <w:u w:val="single"/>
        </w:rPr>
        <w:t xml:space="preserve">and, if available, the type of protection order, no-contact order, restraining order, or criminal charge with which the order was issued, the duration of the order, the period of time from issuance of the order until the court's finding of compliance, any violations, the nature of the violations, any sanctions imposed, the number of firearms obtained pursuant to each order, whether subsequent orders were issued involving the same respondent, and may make recommendations regarding additional procedures, training, or data collection and reporting</w:t>
      </w:r>
      <w:r>
        <w:rPr/>
        <w:t xml:space="preserve">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t>((</w:t>
      </w:r>
      <w:r>
        <w:rPr>
          <w:strike/>
        </w:rPr>
        <w:t xml:space="preserve">A party ordered</w:t>
      </w:r>
      <w:r>
        <w:t>))</w:t>
      </w:r>
      <w:r>
        <w:rPr/>
        <w:t xml:space="preserve"> </w:t>
      </w:r>
      <w:r>
        <w:rPr>
          <w:u w:val="single"/>
        </w:rPr>
        <w:t xml:space="preserve">(1) To prove full compliance with the court's order</w:t>
      </w:r>
      <w:r>
        <w:rPr/>
        <w:t xml:space="preserve"> to surrender firearms, dangerous weapons, and </w:t>
      </w:r>
      <w:r>
        <w:t>((</w:t>
      </w:r>
      <w:r>
        <w:rPr>
          <w:strike/>
        </w:rPr>
        <w:t xml:space="preserve">his or her</w:t>
      </w:r>
      <w:r>
        <w:t>))</w:t>
      </w:r>
      <w:r>
        <w:rPr/>
        <w:t xml:space="preserve"> </w:t>
      </w:r>
      <w:r>
        <w:rPr>
          <w:u w:val="single"/>
        </w:rPr>
        <w:t xml:space="preserve">any</w:t>
      </w:r>
      <w:r>
        <w:rPr/>
        <w:t xml:space="preserve"> concealed pistol license under RCW 9.41.800 </w:t>
      </w:r>
      <w:r>
        <w:rPr>
          <w:u w:val="single"/>
        </w:rPr>
        <w:t xml:space="preserve">the person subject to the order</w:t>
      </w:r>
      <w:r>
        <w:rPr/>
        <w:t xml:space="preserve"> must file with the clerk of the court </w:t>
      </w:r>
      <w:r>
        <w:t>((</w:t>
      </w:r>
      <w:r>
        <w:rPr>
          <w:strike/>
        </w:rPr>
        <w:t xml:space="preserve">a</w:t>
      </w:r>
      <w:r>
        <w:t>))</w:t>
      </w:r>
      <w:r>
        <w:rPr>
          <w:u w:val="single"/>
        </w:rPr>
        <w:t xml:space="preserve">: (a) A completed</w:t>
      </w:r>
      <w:r>
        <w:rPr/>
        <w:t xml:space="preserve"> proof of surrender and receipt form </w:t>
      </w:r>
      <w:r>
        <w:t>((</w:t>
      </w:r>
      <w:r>
        <w:rPr>
          <w:strike/>
        </w:rPr>
        <w:t xml:space="preserve">or a declaration of nonsurrender form within five judicial days of the entry of the order</w:t>
      </w:r>
      <w:r>
        <w:t>))</w:t>
      </w:r>
      <w:r>
        <w:rPr>
          <w:u w:val="single"/>
        </w:rPr>
        <w:t xml:space="preserve">; (b) a declaration that the person has no firearms, dangerous weapons, or concealed pistol license; or (c) other evidence sufficient to establish full and timely compliance with the order.</w:t>
      </w:r>
    </w:p>
    <w:p>
      <w:pPr>
        <w:spacing w:before="0" w:after="0" w:line="408" w:lineRule="exact"/>
        <w:ind w:left="0" w:right="0" w:firstLine="576"/>
        <w:jc w:val="left"/>
      </w:pPr>
      <w:r>
        <w:rPr>
          <w:u w:val="single"/>
        </w:rPr>
        <w:t xml:space="preserve">(2) The verification of compliance required in subsection (1) of this section must be provided to the court within 24 hours of service of the order, unless the order is pursuant to a criminal proceeding. In a criminal proceeding, if the person subject to the order is in custody, proof of compliance must be provided to the court before the person subject to the order is released from custody; otherwise, proof of compliance must be provided before the conclusion of the sentencing hearing. If the court finds that surrender of all firearms, dangerous weapons, and any concealed pistol license is not possible prior to release or prior to the conclusion of the hearing, then arrangements for surrender shall be made and approved by the court before the person's release from custody or before the conclusion of the sentencing hearing, and the court shall order a law enforcement officer to accompany the person to the location where the firearms, dangerous weapons, and concealed pistol license are located so that they are surrendered directly to the law enforcement officer. Surrender to local law enforcement shall occur in a safe manner and proof of compliance provided by law enforcement to the court within 24 hours of either the person's release from custody or the conclusion of the sentencing hearing.</w:t>
      </w:r>
    </w:p>
    <w:p>
      <w:pPr>
        <w:spacing w:before="0" w:after="0" w:line="408" w:lineRule="exact"/>
        <w:ind w:left="0" w:right="0" w:firstLine="576"/>
        <w:jc w:val="left"/>
      </w:pPr>
      <w:r>
        <w:rPr>
          <w:u w:val="single"/>
        </w:rPr>
        <w:t xml:space="preserve">(3) By December 30, 2023, the administrative office of the courts shall develop and distribute any new or updated forms necessary to implement subsections (1) and (2) of this section, and other sections of this act where a form needs to be created or updated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w:t>
      </w:r>
      <w:r>
        <w:rPr>
          <w:u w:val="single"/>
        </w:rPr>
        <w:t xml:space="preserve">or subject to the respondent's immediate possession or control,</w:t>
      </w:r>
      <w:r>
        <w:rPr/>
        <w:t xml:space="preserve">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w:t>
      </w:r>
      <w:r>
        <w:t>((</w:t>
      </w:r>
      <w:r>
        <w:rPr>
          <w:strike/>
        </w:rPr>
        <w:t xml:space="preserve">his or her</w:t>
      </w:r>
      <w:r>
        <w:t>))</w:t>
      </w:r>
      <w:r>
        <w:rPr/>
        <w:t xml:space="preserve"> </w:t>
      </w:r>
      <w:r>
        <w:rPr>
          <w:u w:val="single"/>
        </w:rPr>
        <w:t xml:space="preserve">the officer's</w:t>
      </w:r>
      <w:r>
        <w:rPr/>
        <w:t xml:space="preserve">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w:t>
      </w:r>
      <w:r>
        <w:t>((</w:t>
      </w:r>
      <w:r>
        <w:rPr>
          <w:strike/>
        </w:rPr>
        <w:t xml:space="preserve">his or her</w:t>
      </w:r>
      <w:r>
        <w:t>))</w:t>
      </w:r>
      <w:r>
        <w:rPr/>
        <w:t xml:space="preserve"> </w:t>
      </w:r>
      <w:r>
        <w:rPr>
          <w:u w:val="single"/>
        </w:rPr>
        <w:t xml:space="preserve">the respondent's</w:t>
      </w:r>
      <w:r>
        <w:rPr/>
        <w:t xml:space="preserve">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2018 c 276 s 5 are each amended to read as follows:</w:t>
      </w:r>
    </w:p>
    <w:p>
      <w:pPr>
        <w:spacing w:before="0" w:after="0" w:line="408" w:lineRule="exact"/>
        <w:ind w:left="0" w:right="0" w:firstLine="576"/>
        <w:jc w:val="left"/>
      </w:pPr>
      <w:r>
        <w:rPr/>
        <w:t xml:space="preserve">The judicial officer in any felony, misdemeanor, or gross misdemeanor case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and</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w:t>
      </w:r>
      <w:r>
        <w:t>((</w:t>
      </w:r>
      <w:r>
        <w:rPr>
          <w:strike/>
        </w:rPr>
        <w:t xml:space="preserve">person's</w:t>
      </w:r>
      <w:r>
        <w:t>))</w:t>
      </w:r>
      <w:r>
        <w:rPr/>
        <w:t xml:space="preserve"> </w:t>
      </w:r>
      <w:r>
        <w:rPr>
          <w:u w:val="single"/>
        </w:rPr>
        <w:t xml:space="preserve">defendant's</w:t>
      </w:r>
      <w:r>
        <w:rPr/>
        <w:t xml:space="preserve">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w:t>
      </w:r>
      <w:r>
        <w:t>((</w:t>
      </w:r>
      <w:r>
        <w:rPr>
          <w:strike/>
        </w:rPr>
        <w:t xml:space="preserve">and</w:t>
      </w:r>
      <w:r>
        <w:t>))</w:t>
      </w:r>
    </w:p>
    <w:p>
      <w:pPr>
        <w:spacing w:before="0" w:after="0" w:line="408" w:lineRule="exact"/>
        <w:ind w:left="0" w:right="0" w:firstLine="576"/>
        <w:jc w:val="left"/>
      </w:pPr>
      <w:r>
        <w:rPr/>
        <w:t xml:space="preserve">(c) The nature and seriousness of the danger to any person or the community that would be posed by the defendant's release</w:t>
      </w:r>
      <w:r>
        <w:rPr>
          <w:u w:val="single"/>
        </w:rPr>
        <w:t xml:space="preserve">; and</w:t>
      </w:r>
    </w:p>
    <w:p>
      <w:pPr>
        <w:spacing w:before="0" w:after="0" w:line="408" w:lineRule="exact"/>
        <w:ind w:left="0" w:right="0" w:firstLine="576"/>
        <w:jc w:val="left"/>
      </w:pPr>
      <w:r>
        <w:rPr>
          <w:u w:val="single"/>
        </w:rPr>
        <w:t xml:space="preserve">(d) The defendant's firearms history, including purchase history, any concealed pistol license history, and the requirements of RCW 9.41.800 regarding issuance of an order to surrender and prohibit weapons</w:t>
      </w:r>
      <w:r>
        <w:rPr/>
        <w:t xml:space="preserve">.</w:t>
      </w:r>
    </w:p>
    <w:p>
      <w:pPr>
        <w:spacing w:before="240" w:after="0" w:line="408" w:lineRule="exact"/>
        <w:ind w:left="0" w:right="0" w:firstLine="576"/>
        <w:jc w:val="center"/>
      </w:pPr>
      <w:r>
        <w:rPr>
          <w:b/>
        </w:rPr>
        <w:t xml:space="preserve">Part V. Residential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w:t>
      </w:r>
      <w:r>
        <w:t>((</w:t>
      </w:r>
      <w:r>
        <w:rPr>
          <w:strike/>
        </w:rPr>
        <w:t xml:space="preserve">as defined in RCW 11.88.010,</w:t>
      </w:r>
      <w:r>
        <w:t>))</w:t>
      </w:r>
      <w:r>
        <w:rPr/>
        <w:t xml:space="preserve"> (b) any election official as described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him or her,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w:t>
      </w:r>
      <w:r>
        <w:t>((</w:t>
      </w:r>
      <w:r>
        <w:rPr>
          <w:strike/>
        </w:rPr>
        <w:t xml:space="preserve">;</w:t>
      </w:r>
      <w:r>
        <w:t>))</w:t>
      </w:r>
      <w:r>
        <w:rPr/>
        <w:t xml:space="preserve"> (B) that the applicant, as an election official as described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him or her,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(2)(a) When judges, prosecutors, sheriffs, </w:t>
      </w:r>
      <w:r>
        <w:rPr>
          <w:u w:val="single"/>
        </w:rPr>
        <w:t xml:space="preserve">participants in the address confidentiality program under RCW 40.24.030,</w:t>
      </w:r>
      <w:r>
        <w:rPr/>
        <w:t xml:space="preserve"> or their immediate family members are required to disclose real property that is the personal residence of the judge, prosecutor, </w:t>
      </w:r>
      <w:r>
        <w:t>((</w:t>
      </w:r>
      <w:r>
        <w:rPr>
          <w:strike/>
        </w:rPr>
        <w:t xml:space="preserve">or</w:t>
      </w:r>
      <w:r>
        <w:t>))</w:t>
      </w:r>
      <w:r>
        <w:rPr/>
        <w:t xml:space="preserve"> sheriff, </w:t>
      </w:r>
      <w:r>
        <w:rPr>
          <w:u w:val="single"/>
        </w:rPr>
        <w:t xml:space="preserve">or address confidentiality program participant,</w:t>
      </w:r>
      <w:r>
        <w:rPr/>
        <w:t xml:space="preserve">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w:t>
      </w:r>
      <w:r>
        <w:rPr>
          <w:u w:val="single"/>
        </w:rPr>
        <w:t xml:space="preserve">9A.40.102, 9A.44.210,</w:t>
      </w:r>
      <w:r>
        <w:rPr/>
        <w:t xml:space="preserve"> 9A.46.080, </w:t>
      </w:r>
      <w:r>
        <w:rPr>
          <w:u w:val="single"/>
        </w:rPr>
        <w:t xml:space="preserve">9A.88.160,</w:t>
      </w:r>
      <w:r>
        <w:rPr/>
        <w:t xml:space="preserve"> 10.99.040, 10.99.045, 26.09.050, 26.09.060, 26.26B.020, </w:t>
      </w:r>
      <w:r>
        <w:t>((</w:t>
      </w:r>
      <w:r>
        <w:rPr>
          <w:strike/>
        </w:rPr>
        <w:t xml:space="preserve">or</w:t>
      </w:r>
      <w:r>
        <w:t>))</w:t>
      </w:r>
      <w:r>
        <w:rPr/>
        <w:t xml:space="preserve"> 26.26A.470</w:t>
      </w:r>
      <w:r>
        <w:rPr>
          <w:u w:val="single"/>
        </w:rPr>
        <w:t xml:space="preserve">, or 46.61.5055</w:t>
      </w:r>
      <w:r>
        <w:rPr/>
        <w:t xml:space="preserve">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w:t>
      </w:r>
      <w:r>
        <w:t>((</w:t>
      </w:r>
      <w:r>
        <w:rPr>
          <w:strike/>
        </w:rPr>
        <w:t xml:space="preserve">his or her immediate</w:t>
      </w:r>
      <w:r>
        <w:t>))</w:t>
      </w:r>
      <w:r>
        <w:rPr/>
        <w:t xml:space="preserve"> </w:t>
      </w:r>
      <w:r>
        <w:rPr>
          <w:u w:val="single"/>
        </w:rPr>
        <w:t xml:space="preserve">the party's custody, control, or</w:t>
      </w:r>
      <w:r>
        <w:rPr/>
        <w:t xml:space="preserve"> possession </w:t>
      </w:r>
      <w:r>
        <w:t>((</w:t>
      </w:r>
      <w:r>
        <w:rPr>
          <w:strike/>
        </w:rPr>
        <w:t xml:space="preserve">or control</w:t>
      </w:r>
      <w:r>
        <w:t>))</w:t>
      </w:r>
      <w:r>
        <w:rPr>
          <w:u w:val="single"/>
        </w:rPr>
        <w:t xml:space="preserve">,</w:t>
      </w:r>
      <w:r>
        <w:rPr/>
        <w:t xml:space="preserve"> or subject to </w:t>
      </w:r>
      <w:r>
        <w:t>((</w:t>
      </w:r>
      <w:r>
        <w:rPr>
          <w:strike/>
        </w:rPr>
        <w:t xml:space="preserve">his or her</w:t>
      </w:r>
      <w:r>
        <w:t>))</w:t>
      </w:r>
      <w:r>
        <w:rPr/>
        <w:t xml:space="preserve"> </w:t>
      </w:r>
      <w:r>
        <w:rPr>
          <w:u w:val="single"/>
        </w:rPr>
        <w:t xml:space="preserve">the party's</w:t>
      </w:r>
      <w:r>
        <w:rPr/>
        <w:t xml:space="preserve"> immediate possession or control, and any concealed pistol license issued under RCW 9.41.070, to the local law enforcement agency. </w:t>
      </w:r>
      <w:r>
        <w:t>((</w:t>
      </w:r>
      <w:r>
        <w:rPr>
          <w:strike/>
        </w:rPr>
        <w:t xml:space="preserve">Law enforcement officers shall use law enforcement databases to assist in locating the party in situations where the protected person does not know where the party lives or where there is evidence that the party is trying to evade service.</w:t>
      </w:r>
      <w:r>
        <w:t>))</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w:t>
      </w:r>
      <w:r>
        <w:t>((</w:t>
      </w:r>
      <w:r>
        <w:rPr>
          <w:strike/>
        </w:rPr>
        <w:t xml:space="preserve">and</w:t>
      </w:r>
      <w:r>
        <w:t>))</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u w:val="single"/>
        </w:rPr>
        <w:t xml:space="preserve">; and</w:t>
      </w:r>
    </w:p>
    <w:p>
      <w:pPr>
        <w:spacing w:before="0" w:after="0" w:line="408" w:lineRule="exact"/>
        <w:ind w:left="0" w:right="0" w:firstLine="576"/>
        <w:jc w:val="left"/>
      </w:pPr>
      <w:r>
        <w:rPr>
          <w:u w:val="single"/>
        </w:rPr>
        <w:t xml:space="preserve">(c) Law enforcement officers shall use law enforcement databases to assist in locating the party in situations where the protected person does not know where the party lives or where there is evidence that the party is trying to evade service</w:t>
      </w:r>
      <w:r>
        <w:rPr/>
        <w:t xml:space="preserve">.</w:t>
      </w:r>
    </w:p>
    <w:p>
      <w:pPr>
        <w:spacing w:before="240" w:after="0" w:line="408" w:lineRule="exact"/>
        <w:ind w:left="0" w:right="0" w:firstLine="576"/>
        <w:jc w:val="center"/>
      </w:pPr>
      <w:r>
        <w:rPr>
          <w:b/>
        </w:rPr>
        <w:t xml:space="preserve">Part VI. Statewide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pilot program to implement domestic violence high risk teams. A domestic violence high risk team must, at a minimum, include the following four elements:</w:t>
      </w:r>
    </w:p>
    <w:p>
      <w:pPr>
        <w:spacing w:before="0" w:after="0" w:line="408" w:lineRule="exact"/>
        <w:ind w:left="0" w:right="0" w:firstLine="576"/>
        <w:jc w:val="left"/>
      </w:pPr>
      <w:r>
        <w:rPr/>
        <w:t xml:space="preserve">(a) Early identification of the most dangerous cases through evidence-based lethality assessments;</w:t>
      </w:r>
    </w:p>
    <w:p>
      <w:pPr>
        <w:spacing w:before="0" w:after="0" w:line="408" w:lineRule="exact"/>
        <w:ind w:left="0" w:right="0" w:firstLine="576"/>
        <w:jc w:val="left"/>
      </w:pPr>
      <w:r>
        <w:rPr/>
        <w:t xml:space="preserve">(b) Increased access to supportive services for high-risk victims;</w:t>
      </w:r>
    </w:p>
    <w:p>
      <w:pPr>
        <w:spacing w:before="0" w:after="0" w:line="408" w:lineRule="exact"/>
        <w:ind w:left="0" w:right="0" w:firstLine="576"/>
        <w:jc w:val="left"/>
      </w:pPr>
      <w:r>
        <w:rPr/>
        <w:t xml:space="preserve">(c) Increased perpetrator monitoring and accountability; and</w:t>
      </w:r>
    </w:p>
    <w:p>
      <w:pPr>
        <w:spacing w:before="0" w:after="0" w:line="408" w:lineRule="exact"/>
        <w:ind w:left="0" w:right="0" w:firstLine="576"/>
        <w:jc w:val="left"/>
      </w:pPr>
      <w:r>
        <w:rPr/>
        <w:t xml:space="preserve">(d) A coordinated response to high-risk cases through a multidisciplinary team.</w:t>
      </w:r>
    </w:p>
    <w:p>
      <w:pPr>
        <w:spacing w:before="0" w:after="0" w:line="408" w:lineRule="exact"/>
        <w:ind w:left="0" w:right="0" w:firstLine="576"/>
        <w:jc w:val="left"/>
      </w:pPr>
      <w:r>
        <w:rPr/>
        <w:t xml:space="preserve">(2) A domestic violence program must be the lead or co-lead of the domestic violence high risk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University of Washington shall develop a plan to establish a center of excellence in research, policy, and practice to reduce domestic violence.</w:t>
      </w:r>
    </w:p>
    <w:p>
      <w:pPr>
        <w:spacing w:before="0" w:after="0" w:line="408" w:lineRule="exact"/>
        <w:ind w:left="0" w:right="0" w:firstLine="576"/>
        <w:jc w:val="left"/>
      </w:pPr>
      <w:r>
        <w:rPr/>
        <w:t xml:space="preserve">(2) The plan must be developed with relevant disciplines across the schools of the University of Washington. The school of public health shall lead the development of the plan. The development of the plan must include, but not be limited to, the schools of social work, law, medicine, and nursing, and the Alene Moris women's center.</w:t>
      </w:r>
    </w:p>
    <w:p>
      <w:pPr>
        <w:spacing w:before="0" w:after="0" w:line="408" w:lineRule="exact"/>
        <w:ind w:left="0" w:right="0" w:firstLine="576"/>
        <w:jc w:val="left"/>
      </w:pPr>
      <w:r>
        <w:rPr/>
        <w:t xml:space="preserve">(3) The University of Washington must develop a report summarizing the plan, which must evaluate, but not be limited to, the following topics:</w:t>
      </w:r>
    </w:p>
    <w:p>
      <w:pPr>
        <w:spacing w:before="0" w:after="0" w:line="408" w:lineRule="exact"/>
        <w:ind w:left="0" w:right="0" w:firstLine="576"/>
        <w:jc w:val="left"/>
      </w:pPr>
      <w:r>
        <w:rPr/>
        <w:t xml:space="preserve">(a) Conducting scientifically rigorous intimate partner violence research that informs policy and practice in Washington;</w:t>
      </w:r>
    </w:p>
    <w:p>
      <w:pPr>
        <w:spacing w:before="0" w:after="0" w:line="408" w:lineRule="exact"/>
        <w:ind w:left="0" w:right="0" w:firstLine="576"/>
        <w:jc w:val="left"/>
      </w:pPr>
      <w:r>
        <w:rPr/>
        <w:t xml:space="preserve">(b) Disseminating existing research findings and best practices in order to proliferate evidence-based intimate partner violence policy and practice;</w:t>
      </w:r>
    </w:p>
    <w:p>
      <w:pPr>
        <w:spacing w:before="0" w:after="0" w:line="408" w:lineRule="exact"/>
        <w:ind w:left="0" w:right="0" w:firstLine="576"/>
        <w:jc w:val="left"/>
      </w:pPr>
      <w:r>
        <w:rPr/>
        <w:t xml:space="preserve">(c) Promoting effective strategies to reduce the incidence of domestic violence and domestic violence homicide; and</w:t>
      </w:r>
    </w:p>
    <w:p>
      <w:pPr>
        <w:spacing w:before="0" w:after="0" w:line="408" w:lineRule="exact"/>
        <w:ind w:left="0" w:right="0" w:firstLine="576"/>
        <w:jc w:val="left"/>
      </w:pPr>
      <w:r>
        <w:rPr/>
        <w:t xml:space="preserve">(d) Engaging in strategic planning efforts with relevant stakeholders to develop policy recommendations to improve the state's response to domestic violence.</w:t>
      </w:r>
    </w:p>
    <w:p>
      <w:pPr>
        <w:spacing w:before="0" w:after="0" w:line="408" w:lineRule="exact"/>
        <w:ind w:left="0" w:right="0" w:firstLine="576"/>
        <w:jc w:val="left"/>
      </w:pPr>
      <w:r>
        <w:rPr/>
        <w:t xml:space="preserve">(4) In developing the plan, the University of Washington shall establish an external stakeholder group that shall ensure that all work conducted by the center is informed by survivors of domestic violence, including Black, indigenous, and survivors of color, and LGBTQ survivors, to ensure that research interventions are holistic, trauma-informed, and antiracist and policy recommendations are appropriate and effective for Washington's diverse communities. The University of Washington shall include, but not be limited to, survivors of intimate partner violence, including low-income communities, immigrants, refugee communities, people with religious diversity, people with physical disabilities, children and other family members of survivors, representatives from systems that interact with survivors and perpetrators, and representatives from communities disproportionately impacted by intimate partner violence in order to guide development of the plan's overarching goals and strategic vision. The University of Washington shall provide stipends to stakeholder participants to the extent necessary to maximize participation.</w:t>
      </w:r>
    </w:p>
    <w:p>
      <w:pPr>
        <w:spacing w:before="0" w:after="0" w:line="408" w:lineRule="exact"/>
        <w:ind w:left="0" w:right="0" w:firstLine="576"/>
        <w:jc w:val="left"/>
      </w:pPr>
      <w:r>
        <w:rPr/>
        <w:t xml:space="preserve">(5) The University of Washington shall provide a report to the relevant committees of the legislature with its findings and recommendations as soon as practicable, but no later than January 15, 2024.</w:t>
      </w:r>
    </w:p>
    <w:p>
      <w:pPr>
        <w:spacing w:before="0" w:after="0" w:line="408" w:lineRule="exact"/>
        <w:ind w:left="0" w:right="0" w:firstLine="576"/>
        <w:jc w:val="left"/>
      </w:pPr>
      <w:r>
        <w:rPr/>
        <w:t xml:space="preserve">(6) Subject to funds appropriated for this specific purpose, the University of Washington shall begin implementation of the plan by July 1, 2024.</w:t>
      </w:r>
    </w:p>
    <w:p>
      <w:pPr>
        <w:spacing w:before="240" w:after="0" w:line="408" w:lineRule="exact"/>
        <w:ind w:left="0" w:right="0" w:firstLine="576"/>
        <w:jc w:val="center"/>
      </w:pPr>
      <w:r>
        <w:rPr>
          <w:b/>
        </w:rPr>
        <w:t xml:space="preserve">Part VII.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provide ongoing specialized, intensive, and integrative training for persons responsible for investigating domestic violence cases involving intimate partners. The training must be based on a victim-centered, trauma-informed approach to responding to domestic violence.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domestic violence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significant events in the investigative process.</w:t>
      </w:r>
    </w:p>
    <w:p>
      <w:pPr>
        <w:spacing w:before="0" w:after="0" w:line="408" w:lineRule="exact"/>
        <w:ind w:left="0" w:right="0" w:firstLine="576"/>
        <w:jc w:val="left"/>
      </w:pPr>
      <w:r>
        <w:rPr/>
        <w:t xml:space="preserve">(3) In developing the training, the commission must seek advice from the Washington association of sheriffs and police chiefs, organizations representing victims of domestic violence, survivors of domestic violence, and experts on domestic violence and the neurobiology of trauma. The commission must consult with the Washington association of prosecuting attorneys in an effort to design training containing consistent elements for all professionals engaged in interviewing and interacting with domestic violence victims in the criminal legal system.</w:t>
      </w:r>
    </w:p>
    <w:p>
      <w:pPr>
        <w:spacing w:before="0" w:after="0" w:line="408" w:lineRule="exact"/>
        <w:ind w:left="0" w:right="0" w:firstLine="576"/>
        <w:jc w:val="left"/>
      </w:pPr>
      <w:r>
        <w:rPr/>
        <w:t xml:space="preserve">(4) The commission must develop the training and begin offering it by January 1, 2025. Officers assigned to regularly investigate domestic violence must complete the training within one year of being assigned or by July 1, 2027,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w:t>
      </w:r>
      <w:r>
        <w:t>((</w:t>
      </w:r>
      <w:r>
        <w:rPr>
          <w:strike/>
        </w:rPr>
        <w:t xml:space="preserve">26.10,</w:t>
      </w:r>
      <w:r>
        <w:t>))</w:t>
      </w:r>
      <w:r>
        <w:rPr/>
        <w:t xml:space="preserve">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w:t>
      </w:r>
      <w:r>
        <w:rPr>
          <w:u w:val="single"/>
        </w:rPr>
        <w:t xml:space="preserve">or requiring the person to submit to electronic monitoring,</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w:t>
      </w:r>
      <w:r>
        <w:t>((</w:t>
      </w:r>
      <w:r>
        <w:rPr>
          <w:strike/>
        </w:rPr>
        <w:t xml:space="preserve">his or her</w:t>
      </w:r>
      <w:r>
        <w:t>))</w:t>
      </w:r>
      <w:r>
        <w:rPr/>
        <w:t xml:space="preserve"> </w:t>
      </w:r>
      <w:r>
        <w:rPr>
          <w:u w:val="single"/>
        </w:rPr>
        <w:t xml:space="preserve">the person's</w:t>
      </w:r>
      <w:r>
        <w:rPr/>
        <w:t xml:space="preserve">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w:t>
      </w:r>
      <w:r>
        <w:t>((</w:t>
      </w:r>
      <w:r>
        <w:rPr>
          <w:strike/>
        </w:rPr>
        <w:t xml:space="preserve">physical</w:t>
      </w:r>
      <w:r>
        <w:t>))</w:t>
      </w:r>
      <w:r>
        <w:rPr/>
        <w:t xml:space="preserve">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w:t>
      </w:r>
      <w:r>
        <w:rPr/>
        <w:t xml:space="preserve">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240" w:after="0" w:line="408" w:lineRule="exact"/>
        <w:ind w:left="0" w:right="0" w:firstLine="576"/>
        <w:jc w:val="center"/>
      </w:pPr>
      <w:r>
        <w:rPr>
          <w:b/>
        </w:rPr>
        <w:t xml:space="preserve">Part VIII.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2023.</w:t>
      </w:r>
    </w:p>
    <w:p>
      <w:pPr>
        <w:spacing w:before="0" w:after="0" w:line="408" w:lineRule="exact"/>
        <w:ind w:left="0" w:right="0" w:firstLine="576"/>
        <w:jc w:val="left"/>
      </w:pPr>
      <w:r>
        <w:rPr/>
        <w:t xml:space="preserve">Passed by the Senate April 22,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3ede30db8a1347b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27485d88bb4783" /><Relationship Type="http://schemas.openxmlformats.org/officeDocument/2006/relationships/footer" Target="/word/footer1.xml" Id="R3ede30db8a1347be" /></Relationships>
</file>