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3432ff43f4d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1916</w:t>
      </w:r>
    </w:p>
    <w:p>
      <w:pPr>
        <w:jc w:val="center"/>
        <w:spacing w:before="480" w:after="0" w:line="240"/>
      </w:pPr>
      <w:r>
        <w:t xml:space="preserve">Chapter </w:t>
      </w:r>
      <w:r>
        <w:rPr/>
        <w:t xml:space="preserve">284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EARLY SUPPORT FOR INFANTS AND TODDLERS PROGRAM—FUNDING CRITERIA</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Couture, Leavitt, Taylor, Paul, Callan, Ramos, Cortes, Reed, Fey, Timmons, Street, Doglio, Simmons, Wylie, Reeves, Alvarado, Nance, Riccelli, Fosse, Pollet, and Shavers; by request of Department of Children, Youth, and Families)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early support for infants and toddlers program; amending RCW 43.216.580;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 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has received services within </w:t>
      </w:r>
      <w:r>
        <w:t>((</w:t>
      </w:r>
      <w:r>
        <w:rPr>
          <w:strike/>
        </w:rPr>
        <w:t xml:space="preserve">a month prior to</w:t>
      </w:r>
      <w:r>
        <w:t>))</w:t>
      </w:r>
      <w:r>
        <w:rPr/>
        <w:t xml:space="preserve"> </w:t>
      </w:r>
      <w:r>
        <w:rPr>
          <w:u w:val="single"/>
        </w:rPr>
        <w:t xml:space="preserve">the same month as</w:t>
      </w:r>
      <w:r>
        <w:rPr/>
        <w:t xml:space="preserve"> the monthly count day</w:t>
      </w:r>
      <w:r>
        <w:rPr>
          <w:u w:val="single"/>
        </w:rPr>
        <w:t xml:space="preserve">, which is the last business day of the month</w:t>
      </w:r>
      <w:r>
        <w:rPr/>
        <w:t xml:space="preserve">.</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536a9dc770ec49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6020fc59b46e3" /><Relationship Type="http://schemas.openxmlformats.org/officeDocument/2006/relationships/footer" Target="/word/footer1.xml" Id="R536a9dc770ec49b3" /></Relationships>
</file>