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e8b088d62f40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1927</w:t>
      </w:r>
    </w:p>
    <w:p>
      <w:pPr>
        <w:jc w:val="center"/>
        <w:spacing w:before="480" w:after="0" w:line="240"/>
      </w:pPr>
      <w:r>
        <w:t xml:space="preserve">Chapter </w:t>
      </w:r>
      <w:r>
        <w:rPr/>
        <w:t xml:space="preserve">144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TIME-LOSS COMPENSATION—FIRST THREE DAYS—DURATION OF DISABILITY</w:t>
      </w:r>
    </w:p>
    <w:p>
      <w:pPr>
        <w:spacing w:before="720" w:after="240" w:line="240" w:lineRule="exact"/>
        <w:ind w:left="0" w:right="0" w:firstLine="0"/>
        <w:jc w:val="center"/>
      </w:pPr>
      <w:r>
        <w:t xml:space="preserve">EFFECTIVE DATE: </w:t>
      </w:r>
      <w:r>
        <w:rPr/>
        <w:t xml:space="preserve">June 6, 2024—Except for section 2, which takes effect 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Bronoske, Berry, Ortiz-Self, Reed, Ormsby, Kloba, Doglio, Lekanoff, Fosse, and Pollet</w:t>
      </w:r>
    </w:p>
    <w:p/>
    <w:p>
      <w:r>
        <w:rPr>
          <w:t xml:space="preserve">Prefiled 12/11/23.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days that a worker's temporary total disability must continue to receive industrial insurance compensation for the day of an injury and the three-day period following the injury; amending RCW 51.32.090 and 51.32.090;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9413139200df40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a3094a97943ad" /><Relationship Type="http://schemas.openxmlformats.org/officeDocument/2006/relationships/footer" Target="/word/footer1.xml" Id="R9413139200df40c8" /></Relationships>
</file>