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c3cccb13a4f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1976</w:t>
      </w:r>
    </w:p>
    <w:p>
      <w:pPr>
        <w:jc w:val="center"/>
        <w:spacing w:before="480" w:after="0" w:line="240"/>
      </w:pPr>
      <w:r>
        <w:t xml:space="preserve">Chapter </w:t>
      </w:r>
      <w:r>
        <w:rPr/>
        <w:t xml:space="preserve">85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ENERGY PERFORMANCE STANDARD—INCENTIVES FOR TIER 1 AND 2 BUILDINGS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Fosse, Doglio, Fitzgibbon, Ramel, Reed, Lekanoff, Reeves, and Pollet; by request of Department of Commerce</w:t>
      </w:r>
    </w:p>
    <w:p/>
    <w:p>
      <w:r>
        <w:rPr>
          <w:t xml:space="preserve">Prefiled 12/19/23.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incentive structure for tier 1 and tier 2 buildings; and amending RCW 19.27A.220.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2022 c 177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for tier 1 buildings. The department may authorize any participating utility, regardless of fuel specific savings, serving a tier 2 building to administer the incentive payment.</w:t>
      </w:r>
    </w:p>
    <w:p>
      <w:pPr>
        <w:spacing w:before="0" w:after="0" w:line="408" w:lineRule="exact"/>
        <w:ind w:left="0" w:right="0" w:firstLine="576"/>
        <w:jc w:val="left"/>
      </w:pPr>
      <w:r>
        <w:rPr/>
        <w:t xml:space="preserve">(4) A covered building owner may receive an incentive payment in the amounts specified in subsection (8)(a)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50,000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15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or multifamily residential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 A covered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(a) For a building with more than 220,000 gross square feet, beginning July 1, 2021, through June 1, 2025;</w:t>
      </w:r>
    </w:p>
    <w:p>
      <w:pPr>
        <w:spacing w:before="0" w:after="0" w:line="408" w:lineRule="exact"/>
        <w:ind w:left="0" w:right="0" w:firstLine="576"/>
        <w:jc w:val="left"/>
      </w:pPr>
      <w:r>
        <w:rPr/>
        <w:t xml:space="preserve">(b) For a building with more than 90,000 gross square feet but less than 220,001 gross square feet, beginning July 1, 2021, through June 1, 2026; and</w:t>
      </w:r>
    </w:p>
    <w:p>
      <w:pPr>
        <w:spacing w:before="0" w:after="0" w:line="408" w:lineRule="exact"/>
        <w:ind w:left="0" w:right="0" w:firstLine="576"/>
        <w:jc w:val="left"/>
      </w:pPr>
      <w:r>
        <w:rPr/>
        <w:t xml:space="preserve">(c) For a building with more than 50,000 gross square feet but less than 90,001 gross square feet, beginning July 1, 2021, through June 1, 2027.</w:t>
      </w:r>
    </w:p>
    <w:p>
      <w:pPr>
        <w:spacing w:before="0" w:after="0" w:line="408" w:lineRule="exact"/>
        <w:ind w:left="0" w:right="0" w:firstLine="576"/>
        <w:jc w:val="left"/>
      </w:pPr>
      <w:r>
        <w:rPr/>
        <w:t xml:space="preserve">(6)(a) A tier 2 covered building owner may receive an incentive payment in the amounts specified in subsection (8)(b) of this section only if all required benchmarking, energy management, and operations and maintenance planning documentation as required under RCW 19.27A.250 has been submitted to the department and an incentive application has been completed.</w:t>
      </w:r>
    </w:p>
    <w:p>
      <w:pPr>
        <w:spacing w:before="0" w:after="0" w:line="408" w:lineRule="exact"/>
        <w:ind w:left="0" w:right="0" w:firstLine="576"/>
        <w:jc w:val="left"/>
      </w:pPr>
      <w:r>
        <w:rPr/>
        <w:t xml:space="preserve">(b) An eligible tier 2 covered building owner may submit an application beginning July 1, 2025, through June 1, 2030.</w:t>
      </w:r>
    </w:p>
    <w:p>
      <w:pPr>
        <w:spacing w:before="0" w:after="0" w:line="408" w:lineRule="exact"/>
        <w:ind w:left="0" w:right="0" w:firstLine="576"/>
        <w:jc w:val="left"/>
      </w:pPr>
      <w:r>
        <w:rPr/>
        <w:t xml:space="preserve">(7)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(8)(a) An eligible owner of a tier 1 covered building or an eligible owner of a multifamily residential building greater than 50,000 gross square feet, excluding the parking area, that demonstrates early compliance with the applicable energy use intensity target under the standard established under RCW 19.27A.210 may receive a base incentive payment of 85 cents per gross square foot of floor area, excluding parking, unconditioned, or semiconditioned spaces. </w:t>
      </w:r>
      <w:r>
        <w:rPr>
          <w:u w:val="single"/>
        </w:rPr>
        <w:t xml:space="preserve">The department may provide incentives greater than the base incentive payment for upgrading tier 1 buildings.</w:t>
      </w:r>
    </w:p>
    <w:p>
      <w:pPr>
        <w:spacing w:before="0" w:after="0" w:line="408" w:lineRule="exact"/>
        <w:ind w:left="0" w:right="0" w:firstLine="576"/>
        <w:jc w:val="left"/>
      </w:pPr>
      <w:r>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w:t>
      </w:r>
      <w:r>
        <w:rPr>
          <w:u w:val="single"/>
        </w:rPr>
        <w:t xml:space="preserve">The department may provide incentives greater than the base incentive payment for upgrading tier 2 buildings.</w:t>
      </w:r>
      <w:r>
        <w:rPr/>
        <w:t xml:space="preserve"> The department may implement a tiered incentive structure for upgrading multifamily buildings to provide an enhanced incentive payment to multifamily building owners willing to commit to antidisplacement provisions. </w:t>
      </w:r>
    </w:p>
    <w:p>
      <w:pPr>
        <w:spacing w:before="0" w:after="0" w:line="408" w:lineRule="exact"/>
        <w:ind w:left="0" w:right="0" w:firstLine="576"/>
        <w:jc w:val="left"/>
      </w:pPr>
      <w:r>
        <w:rPr/>
        <w:t xml:space="preserve">(9) The incentives provided in subsection (8)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(10)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(11)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(12)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rPr/>
        <w:t xml:space="preserve">(13) The department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3a9d9925685347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7b470a74c499e" /><Relationship Type="http://schemas.openxmlformats.org/officeDocument/2006/relationships/footer" Target="/word/footer1.xml" Id="R3a9d992568534726" /></Relationships>
</file>