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edfa06f6bd4d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2039</w:t>
      </w:r>
    </w:p>
    <w:p>
      <w:pPr>
        <w:jc w:val="center"/>
        <w:spacing w:before="480" w:after="0" w:line="240"/>
      </w:pPr>
      <w:r>
        <w:t xml:space="preserve">Chapter </w:t>
      </w:r>
      <w:r>
        <w:rPr/>
        <w:t xml:space="preserve">347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ENVIRONMENTAL AND LAND USE APPEALS—VARIOUS PROVISIONS</w:t>
      </w:r>
    </w:p>
    <w:p>
      <w:pPr>
        <w:spacing w:before="720" w:after="240" w:line="240" w:lineRule="exact"/>
        <w:ind w:left="0" w:right="0" w:firstLine="0"/>
        <w:jc w:val="center"/>
      </w:pPr>
      <w:r>
        <w:t xml:space="preserve">EFFECTIVE DATE: </w:t>
      </w:r>
      <w:r>
        <w:rPr/>
        <w:t xml:space="preserve">June 6, 2024—Except for section 2, which takes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72</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Fitzgibbon, Ramel, Reed, Ormsby, Fosse, and Duerr)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appeals process for environmental and land use matters; amending RCW 34.05.518, 34.05.518, 90.58.180, 70A.230.080, 70A.300.120, 70A.430.070, 86.16.081, 70A.500.260, and 36.70C.040; reenacting and amending RCW 43.21B.110 and 43.21B.300; adding a new section to chapter 43.21B RCW; repealing RCW 70A.205.145;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following the applicant's request. Such a stay must include a stay of the construction of the project pending appeal pursuant to RCW 43.21B.320,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60 days on a motion from a party or by the pollution control hearings board upon a finding of good cause. The time period in (b) of this subsection may also be waived if agreed to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500</w:t>
      </w:r>
      <w:r>
        <w:rPr/>
        <w:t xml:space="preserve">.</w:t>
      </w:r>
      <w:r>
        <w:t xml:space="preserve">260</w:t>
      </w:r>
      <w:r>
        <w:rPr/>
        <w:t xml:space="preserve"> and 2020 c 20 s 1259 are each amended to read as follows:</w:t>
      </w:r>
    </w:p>
    <w:p>
      <w:pPr>
        <w:spacing w:before="0" w:after="0" w:line="408" w:lineRule="exact"/>
        <w:ind w:left="0" w:right="0" w:firstLine="576"/>
        <w:jc w:val="left"/>
      </w:pPr>
      <w:r>
        <w:rPr/>
        <w:t xml:space="preserve">(1) No manufacturer may sell or offer for sale a covered electronic product in or into the state unless the manufacturer of the covered electronic product is participating in an approved plan. The department shall send a written warning to a manufacturer that does not have an approved plan or is not participating in an approved plan as required under RCW 70A.500.050. The written warning must inform the manufacturer that it must participate in an approved plan within </w:t>
      </w:r>
      <w:r>
        <w:t>((</w:t>
      </w:r>
      <w:r>
        <w:rPr>
          <w:strike/>
        </w:rPr>
        <w:t xml:space="preserve">thirty</w:t>
      </w:r>
      <w:r>
        <w:t>))</w:t>
      </w:r>
      <w:r>
        <w:rPr/>
        <w:t xml:space="preserve"> </w:t>
      </w:r>
      <w:r>
        <w:rPr>
          <w:u w:val="single"/>
        </w:rPr>
        <w:t xml:space="preserve">30</w:t>
      </w:r>
      <w:r>
        <w:rPr/>
        <w:t xml:space="preserve"> days of the notice. Any violation after the initial written warning shall be assessed a penalty of up to </w:t>
      </w:r>
      <w:r>
        <w:t>((</w:t>
      </w:r>
      <w:r>
        <w:rPr>
          <w:strike/>
        </w:rPr>
        <w:t xml:space="preserve">ten thousand dollars</w:t>
      </w:r>
      <w:r>
        <w:t>))</w:t>
      </w:r>
      <w:r>
        <w:rPr/>
        <w:t xml:space="preserve"> </w:t>
      </w:r>
      <w:r>
        <w:rPr>
          <w:u w:val="single"/>
        </w:rPr>
        <w:t xml:space="preserve">$10,000</w:t>
      </w:r>
      <w:r>
        <w:rPr/>
        <w:t xml:space="preserve"> for each violation.</w:t>
      </w:r>
    </w:p>
    <w:p>
      <w:pPr>
        <w:spacing w:before="0" w:after="0" w:line="408" w:lineRule="exact"/>
        <w:ind w:left="0" w:right="0" w:firstLine="576"/>
        <w:jc w:val="left"/>
      </w:pPr>
      <w:r>
        <w:rPr/>
        <w:t xml:space="preserve">(2) If the authority or any authorized party fails to implement their approved plan, the department must assess a penalty of up to </w:t>
      </w:r>
      <w:r>
        <w:t>((</w:t>
      </w:r>
      <w:r>
        <w:rPr>
          <w:strike/>
        </w:rPr>
        <w:t xml:space="preserve">five thousand dollars</w:t>
      </w:r>
      <w:r>
        <w:t>))</w:t>
      </w:r>
      <w:r>
        <w:rPr/>
        <w:t xml:space="preserve"> </w:t>
      </w:r>
      <w:r>
        <w:rPr>
          <w:u w:val="single"/>
        </w:rPr>
        <w:t xml:space="preserve">$5,000</w:t>
      </w:r>
      <w:r>
        <w:rPr/>
        <w:t xml:space="preserve"> for the first violation along with notification that the authority or authorized party must implement its plan within </w:t>
      </w:r>
      <w:r>
        <w:t>((</w:t>
      </w:r>
      <w:r>
        <w:rPr>
          <w:strike/>
        </w:rPr>
        <w:t xml:space="preserve">thirty</w:t>
      </w:r>
      <w:r>
        <w:t>))</w:t>
      </w:r>
      <w:r>
        <w:rPr/>
        <w:t xml:space="preserve"> </w:t>
      </w:r>
      <w:r>
        <w:rPr>
          <w:u w:val="single"/>
        </w:rPr>
        <w:t xml:space="preserve">30</w:t>
      </w:r>
      <w:r>
        <w:rPr/>
        <w:t xml:space="preserve"> days of the violation. After </w:t>
      </w:r>
      <w:r>
        <w:t>((</w:t>
      </w:r>
      <w:r>
        <w:rPr>
          <w:strike/>
        </w:rPr>
        <w:t xml:space="preserve">thirty</w:t>
      </w:r>
      <w:r>
        <w:t>))</w:t>
      </w:r>
      <w:r>
        <w:rPr/>
        <w:t xml:space="preserve"> </w:t>
      </w:r>
      <w:r>
        <w:rPr>
          <w:u w:val="single"/>
        </w:rPr>
        <w:t xml:space="preserve">30</w:t>
      </w:r>
      <w:r>
        <w:rPr/>
        <w:t xml:space="preserve"> days, the authority or any authorized party failing to implement their approved plan must be assessed a penalty of up to </w:t>
      </w:r>
      <w:r>
        <w:t>((</w:t>
      </w:r>
      <w:r>
        <w:rPr>
          <w:strike/>
        </w:rPr>
        <w:t xml:space="preserve">ten thousand dollars</w:t>
      </w:r>
      <w:r>
        <w:t>))</w:t>
      </w:r>
      <w:r>
        <w:rPr/>
        <w:t xml:space="preserve"> </w:t>
      </w:r>
      <w:r>
        <w:rPr>
          <w:u w:val="single"/>
        </w:rPr>
        <w:t xml:space="preserve">$10,000</w:t>
      </w:r>
      <w:r>
        <w:rPr/>
        <w:t xml:space="preserve"> for the second and each subsequent violation.</w:t>
      </w:r>
    </w:p>
    <w:p>
      <w:pPr>
        <w:spacing w:before="0" w:after="0" w:line="408" w:lineRule="exact"/>
        <w:ind w:left="0" w:right="0" w:firstLine="576"/>
        <w:jc w:val="left"/>
      </w:pPr>
      <w:r>
        <w:rPr/>
        <w:t xml:space="preserve">(3) Any person that does not comply with manufacturer registration requirements under RCW 70A.500.040, education and outreach requirements under RCW 70A.500.120, reporting requirements under RCW 70A.500.140, labeling requirements under RCW 70A.500.160, retailer responsibility requirements under RCW 70A.500.170, collector or transporter registration requirements under RCW 70A.500.240, or requirements under RCW 70A.500.250, must first receive a written warning </w:t>
      </w:r>
      <w:r>
        <w:rPr>
          <w:u w:val="single"/>
        </w:rPr>
        <w:t xml:space="preserve">consistent with the procedures of RCW 43.21B.300,</w:t>
      </w:r>
      <w:r>
        <w:rPr/>
        <w:t xml:space="preserve"> including a copy of the requirements under this chapter and </w:t>
      </w:r>
      <w:r>
        <w:t>((</w:t>
      </w:r>
      <w:r>
        <w:rPr>
          <w:strike/>
        </w:rPr>
        <w:t xml:space="preserve">thirty</w:t>
      </w:r>
      <w:r>
        <w:t>))</w:t>
      </w:r>
      <w:r>
        <w:rPr/>
        <w:t xml:space="preserve"> </w:t>
      </w:r>
      <w:r>
        <w:rPr>
          <w:u w:val="single"/>
        </w:rPr>
        <w:t xml:space="preserve">30</w:t>
      </w:r>
      <w:r>
        <w:rPr/>
        <w:t xml:space="preserve"> days to correct the violation. After </w:t>
      </w:r>
      <w:r>
        <w:t>((</w:t>
      </w:r>
      <w:r>
        <w:rPr>
          <w:strike/>
        </w:rPr>
        <w:t xml:space="preserve">thirty</w:t>
      </w:r>
      <w:r>
        <w:t>))</w:t>
      </w:r>
      <w:r>
        <w:rPr/>
        <w:t xml:space="preserve"> </w:t>
      </w:r>
      <w:r>
        <w:rPr>
          <w:u w:val="single"/>
        </w:rPr>
        <w:t xml:space="preserve">30</w:t>
      </w:r>
      <w:r>
        <w:rPr/>
        <w:t xml:space="preserve"> days, a person must be assessed a penalty of up to </w:t>
      </w:r>
      <w:r>
        <w:t>((</w:t>
      </w:r>
      <w:r>
        <w:rPr>
          <w:strike/>
        </w:rPr>
        <w:t xml:space="preserve">one thousand dollars</w:t>
      </w:r>
      <w:r>
        <w:t>))</w:t>
      </w:r>
      <w:r>
        <w:rPr/>
        <w:t xml:space="preserve"> </w:t>
      </w:r>
      <w:r>
        <w:rPr>
          <w:u w:val="single"/>
        </w:rPr>
        <w:t xml:space="preserve">$1,000</w:t>
      </w:r>
      <w:r>
        <w:rPr/>
        <w:t xml:space="preserve"> for the first violation and up to </w:t>
      </w:r>
      <w:r>
        <w:t>((</w:t>
      </w:r>
      <w:r>
        <w:rPr>
          <w:strike/>
        </w:rPr>
        <w:t xml:space="preserve">two thousand dollars</w:t>
      </w:r>
      <w:r>
        <w:t>))</w:t>
      </w:r>
      <w:r>
        <w:rPr/>
        <w:t xml:space="preserve"> </w:t>
      </w:r>
      <w:r>
        <w:rPr>
          <w:u w:val="single"/>
        </w:rPr>
        <w:t xml:space="preserve">$2,000</w:t>
      </w:r>
      <w:r>
        <w:rPr/>
        <w:t xml:space="preserve"> for the second and each subsequent violation.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All penalties levied under this section must be deposited into the electronic products recycling account created under RCW 70A.500.130.</w:t>
      </w:r>
    </w:p>
    <w:p>
      <w:pPr>
        <w:spacing w:before="0" w:after="0" w:line="408" w:lineRule="exact"/>
        <w:ind w:left="0" w:right="0" w:firstLine="576"/>
        <w:jc w:val="left"/>
      </w:pPr>
      <w:r>
        <w:rPr/>
        <w:t xml:space="preserve">(5) The department shall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w:t>
      </w:r>
    </w:p>
    <w:p>
      <w:pPr>
        <w:spacing w:before="0" w:after="0" w:line="408" w:lineRule="exact"/>
        <w:ind w:left="0" w:right="0" w:firstLine="576"/>
        <w:jc w:val="left"/>
      </w:pPr>
      <w:r>
        <w:rPr/>
        <w:t xml:space="preserve">(c) 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t xml:space="preserve">(d)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w:t>
      </w:r>
      <w:r>
        <w:t>((</w:t>
      </w:r>
      <w:r>
        <w:rPr>
          <w:strike/>
        </w:rPr>
        <w:t xml:space="preserve">twenty</w:t>
      </w:r>
      <w:r>
        <w:rPr/>
        <w:noBreakHyphen/>
      </w:r>
      <w:r>
        <w:rPr>
          <w:strike/>
        </w:rPr>
        <w:t xml:space="preserve">one</w:t>
      </w:r>
      <w:r>
        <w:t>))</w:t>
      </w:r>
      <w:r>
        <w:rPr/>
        <w:t xml:space="preserve"> </w:t>
      </w:r>
      <w:r>
        <w:rPr>
          <w:u w:val="single"/>
        </w:rPr>
        <w:t xml:space="preserve">21</w:t>
      </w:r>
      <w:r>
        <w:rPr/>
        <w:t xml:space="preserve"> days of the issuance of the land use decision.</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or, if not mailed, the date on which the local jurisdiction provides notice that a written decision is publicly available;</w:t>
      </w:r>
    </w:p>
    <w:p>
      <w:pPr>
        <w:spacing w:before="0" w:after="0" w:line="408" w:lineRule="exact"/>
        <w:ind w:left="0" w:right="0" w:firstLine="576"/>
        <w:jc w:val="left"/>
      </w:pPr>
      <w:r>
        <w:rPr/>
        <w:t xml:space="preserve">(b) If the land use decision is made by ordinance or resolution by a legislative body sitting in a quasi</w:t>
      </w:r>
      <w:r>
        <w:rPr/>
        <w:noBreakHyphen/>
      </w:r>
      <w:r>
        <w:rPr/>
        <w:t xml:space="preserve">judicial capacity, the date the body passes the ordinance or resolution; or</w:t>
      </w:r>
    </w:p>
    <w:p>
      <w:pPr>
        <w:spacing w:before="0" w:after="0" w:line="408" w:lineRule="exact"/>
        <w:ind w:left="0" w:right="0" w:firstLine="576"/>
        <w:jc w:val="left"/>
      </w:pPr>
      <w:r>
        <w:rPr/>
        <w:t xml:space="preserve">(c) If neither (a) nor (b) of this subsection applies, the date the decision is entered into the public record.</w:t>
      </w:r>
    </w:p>
    <w:p>
      <w:pPr>
        <w:spacing w:before="0" w:after="0" w:line="408" w:lineRule="exact"/>
        <w:ind w:left="0" w:right="0" w:firstLine="576"/>
        <w:jc w:val="left"/>
      </w:pPr>
      <w:r>
        <w:rPr/>
        <w:t xml:space="preserve">(5) Service on the local jurisdiction must be by delivery of a copy of the petition to the </w:t>
      </w:r>
      <w:r>
        <w:t>((</w:t>
      </w:r>
      <w:r>
        <w:rPr>
          <w:strike/>
        </w:rPr>
        <w:t xml:space="preserve">persons</w:t>
      </w:r>
      <w:r>
        <w:t>))</w:t>
      </w:r>
      <w:r>
        <w:rPr/>
        <w:t xml:space="preserve"> </w:t>
      </w:r>
      <w:r>
        <w:rPr>
          <w:u w:val="single"/>
        </w:rPr>
        <w:t xml:space="preserve">office of a person</w:t>
      </w:r>
      <w:r>
        <w:rPr/>
        <w:t xml:space="preserve"> identified by or pursuant to RCW 4.28.080 to receive service of process</w:t>
      </w:r>
      <w:r>
        <w:rPr>
          <w:u w:val="single"/>
        </w:rPr>
        <w:t xml:space="preserve">, or as otherwise designated by the local jurisdiction. Service on the local jurisdiction is effective upon delivery</w:t>
      </w:r>
      <w:r>
        <w:rPr/>
        <w:t xml:space="preserve">.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w:t>
      </w:r>
    </w:p>
    <w:p>
      <w:pPr>
        <w:spacing w:before="0" w:after="0" w:line="408" w:lineRule="exact"/>
        <w:ind w:left="0" w:right="0" w:firstLine="576"/>
        <w:jc w:val="left"/>
      </w:pPr>
      <w:r>
        <w:rPr/>
        <w:t xml:space="preserve">(b) The address stated in the records of the county assessor for each person made a party under subsection (2)(c) of this section; and</w:t>
      </w:r>
    </w:p>
    <w:p>
      <w:pPr>
        <w:spacing w:before="0" w:after="0" w:line="408" w:lineRule="exact"/>
        <w:ind w:left="0" w:right="0" w:firstLine="576"/>
        <w:jc w:val="left"/>
      </w:pPr>
      <w:r>
        <w:rPr/>
        <w:t xml:space="preserve">(c) The address stated in the appeal to the quasi</w:t>
      </w:r>
      <w:r>
        <w:rPr/>
        <w:noBreakHyphen/>
      </w:r>
      <w:r>
        <w:rPr/>
        <w:t xml:space="preserve">judicial decision maker for each person made a party under subsection (2)(d)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ab098ca25a0f4e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7953d0bb24e1d" /><Relationship Type="http://schemas.openxmlformats.org/officeDocument/2006/relationships/footer" Target="/word/footer1.xml" Id="Rab098ca25a0f4e02" /></Relationships>
</file>