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334bc5c1a24fd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2048</w:t>
      </w:r>
    </w:p>
    <w:p>
      <w:pPr>
        <w:jc w:val="center"/>
        <w:spacing w:before="480" w:after="0" w:line="240"/>
      </w:pPr>
      <w:r>
        <w:t xml:space="preserve">Chapter </w:t>
      </w:r>
      <w:r>
        <w:rPr/>
        <w:t xml:space="preserve">63</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DOMESTIC VIOLENCE—SUPERVISION—CRIMINAL SENTENCING</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6, 2024</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2024</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2048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13, 2024 2:06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2048</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Community Safety, Justice, &amp; Reentry (originally sponsored by Representatives Mosbrucker, Goodman, Graham, Doglio, and Davis)</w:t>
      </w:r>
    </w:p>
    <w:p/>
    <w:p>
      <w:r>
        <w:rPr>
          <w:t xml:space="preserve">READ FIRST TIME 01/23/24.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supervision of domestic violence in criminal sentencing; amending RCW 9.94A.501;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ongoing and increasing epidemic of domestic violence. Even when a perpetrator is held accountable by our criminal justice system, including by total confinement in a state correctional facility, many victims of domestic violence face the ongoing challenge of realizing physical and psychological safety in their daily lives. One mechanism by which the state supports survivors is through community supervision of defendants convicted of certain domestic violence offenses upon their release back into our communities.</w:t>
      </w:r>
    </w:p>
    <w:p>
      <w:pPr>
        <w:spacing w:before="0" w:after="0" w:line="408" w:lineRule="exact"/>
        <w:ind w:left="0" w:right="0" w:firstLine="576"/>
        <w:jc w:val="left"/>
      </w:pPr>
      <w:r>
        <w:rPr/>
        <w:t xml:space="preserve">The legislature acknowledges that the department of corrections serves a critical function by operating as the state agency entrusted with supervision of certain defendants. It is imperative that in every instance when a Washington court orders supervision for a defendant convicted of a qualifying domestic violence offense, the department of corrections undertakes its supervisory role. Accordingly, the legislature recognizes that certain changes must be made to the Washington sentencing reform act to ensure that the department of corrections' supervisory obligations are clear.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corrections shall conduct an internal audit and report on its supervisory obligations under RCW 9.94A.501 (1)(b) and (4)(e). The audit and report shall, for the period identified in subsection (2) of this section: (a) Identify the number of individuals for whom a Washington court ordered supervision by the department under RCW 9.94A.501(1)(b) and (4)(e); (b) identify the number of individuals within the number identified in (a) of this subsection for whom supervision by the department was ordered but supervision did not occur or has not occurred; and (c) provide the reason or reasons why the department did not undertake supervision of an individual if the numbers identified in (a) and (b) of this subsection are not the same.</w:t>
      </w:r>
    </w:p>
    <w:p>
      <w:pPr>
        <w:spacing w:before="0" w:after="0" w:line="408" w:lineRule="exact"/>
        <w:ind w:left="0" w:right="0" w:firstLine="576"/>
        <w:jc w:val="left"/>
      </w:pPr>
      <w:r>
        <w:rPr/>
        <w:t xml:space="preserve">(2) The audit and report required by this section must cover the period between July 1, 2022, and June 30, 2024.</w:t>
      </w:r>
    </w:p>
    <w:p>
      <w:pPr>
        <w:spacing w:before="0" w:after="0" w:line="408" w:lineRule="exact"/>
        <w:ind w:left="0" w:right="0" w:firstLine="576"/>
        <w:jc w:val="left"/>
      </w:pPr>
      <w:r>
        <w:rPr/>
        <w:t xml:space="preserve">(3) The department shall report the findings of its audit to the appropriate committees of the legislature by December 1, 2024.</w:t>
      </w:r>
    </w:p>
    <w:p>
      <w:pPr>
        <w:spacing w:before="0" w:after="0" w:line="408" w:lineRule="exact"/>
        <w:ind w:left="0" w:right="0" w:firstLine="576"/>
        <w:jc w:val="left"/>
      </w:pPr>
      <w:r>
        <w:rPr/>
        <w:t xml:space="preserve">(4) This section expires December 31,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2021 c 242 s 2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t>
      </w:r>
      <w:r>
        <w:t>((</w:t>
      </w:r>
      <w:r>
        <w:rPr>
          <w:strike/>
        </w:rPr>
        <w:t xml:space="preserve">where domestic violence has been pleaded and proven</w:t>
      </w:r>
      <w:r>
        <w:t>))</w:t>
      </w:r>
      <w:r>
        <w:rPr/>
        <w:t xml:space="preserve"> after August 1, 2011; and</w:t>
      </w:r>
    </w:p>
    <w:p>
      <w:pPr>
        <w:spacing w:before="0" w:after="0" w:line="408" w:lineRule="exact"/>
        <w:ind w:left="0" w:right="0" w:firstLine="576"/>
        <w:jc w:val="left"/>
      </w:pPr>
      <w:r>
        <w:rPr/>
        <w:t xml:space="preserve">(ii) A prior conviction for a repetitive domestic violence offense or domestic violence felony offense </w:t>
      </w:r>
      <w:r>
        <w:t>((</w:t>
      </w:r>
      <w:r>
        <w:rPr>
          <w:strike/>
        </w:rPr>
        <w:t xml:space="preserve">where domestic violence has been pleaded and proven</w:t>
      </w:r>
      <w:r>
        <w:t>))</w:t>
      </w:r>
      <w:r>
        <w:rPr/>
        <w:t xml:space="preserve">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t>
      </w:r>
      <w:r>
        <w:t>((</w:t>
      </w:r>
      <w:r>
        <w:rPr>
          <w:strike/>
        </w:rPr>
        <w:t xml:space="preserve">where domestic violence has been pleaded and proven</w:t>
      </w:r>
      <w:r>
        <w:t>))</w:t>
      </w:r>
      <w:r>
        <w:rPr/>
        <w:t xml:space="preserve"> after August 1, 2011, and a prior conviction for a repetitive domestic violence offense or domestic violence felony offense </w:t>
      </w:r>
      <w:r>
        <w:t>((</w:t>
      </w:r>
      <w:r>
        <w:rPr>
          <w:strike/>
        </w:rPr>
        <w:t xml:space="preserve">where domestic violence was pleaded and proven</w:t>
      </w:r>
      <w:r>
        <w:t>))</w:t>
      </w:r>
      <w:r>
        <w:rPr/>
        <w:t xml:space="preserve"> after August 1, 2011. This subsection (4)(e)(i) applies only to offenses committed prior to July 24, 2015;</w:t>
      </w:r>
    </w:p>
    <w:p>
      <w:pPr>
        <w:spacing w:before="0" w:after="0" w:line="408" w:lineRule="exact"/>
        <w:ind w:left="0" w:right="0" w:firstLine="576"/>
        <w:jc w:val="left"/>
      </w:pPr>
      <w:r>
        <w:rPr/>
        <w:t xml:space="preserve">(ii) Has a current conviction for a domestic violence felony offense </w:t>
      </w:r>
      <w:r>
        <w:t>((</w:t>
      </w:r>
      <w:r>
        <w:rPr>
          <w:strike/>
        </w:rPr>
        <w:t xml:space="preserve">where domestic violence was pleaded and proven</w:t>
      </w:r>
      <w:r>
        <w:t>))</w:t>
      </w:r>
      <w:r>
        <w:rPr/>
        <w:t xml:space="preserve">. The state and its officers, agents, and employees shall not be held criminally or civilly liable for its supervision of an offender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9.94A.670, 9.94A.711, or 9.94A.695;</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shall supervise any offender who is released by the indeterminate sentence review board and who was sentenced to community custody or subject to community custody under the terms of release.</w:t>
      </w:r>
    </w:p>
    <w:p>
      <w:pPr>
        <w:spacing w:before="0" w:after="0" w:line="408" w:lineRule="exact"/>
        <w:ind w:left="0" w:right="0" w:firstLine="576"/>
        <w:jc w:val="left"/>
      </w:pPr>
      <w:r>
        <w:rPr/>
        <w:t xml:space="preserve">(6)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(7) The department shall conduct a risk assessment for every felony offender sentenced to a term of community custody who may be subject to supervision under this section or RCW 9.94A.5011.</w:t>
      </w:r>
    </w:p>
    <w:p>
      <w:pPr>
        <w:spacing w:before="0" w:after="0" w:line="408" w:lineRule="exact"/>
        <w:ind w:left="0" w:right="0" w:firstLine="576"/>
        <w:jc w:val="left"/>
      </w:pPr>
      <w:r>
        <w:rPr/>
        <w:t xml:space="preserve">(8) The period of time the department is authorized to supervise an offender under this section may not exceed the duration of community custody specified under RCW 9.94B.050, 9.94A.701 (1) through (9), or 9.94A.702, except in cases where the court has imposed an exceptional term of community custody under RCW 9.94A.535.</w:t>
      </w:r>
    </w:p>
    <w:p>
      <w:pPr>
        <w:spacing w:before="0" w:after="0" w:line="408" w:lineRule="exact"/>
        <w:ind w:left="0" w:right="0" w:firstLine="576"/>
        <w:jc w:val="left"/>
      </w:pPr>
      <w:r>
        <w:rPr/>
        <w:t xml:space="preserve">(9) The period of time the department is authorized to supervise an offender under this section may be reduced by the earned award of supervision compliance credit pursuant to RCW 9.94A.717.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6, 2024.</w:t>
      </w:r>
    </w:p>
    <w:p>
      <w:pPr>
        <w:spacing w:before="0" w:after="0" w:line="408" w:lineRule="exact"/>
        <w:ind w:left="0" w:right="0" w:firstLine="576"/>
        <w:jc w:val="left"/>
      </w:pPr>
      <w:r>
        <w:rPr/>
        <w:t xml:space="preserve">Passed by the Senate February 27, 2024.</w:t>
      </w:r>
    </w:p>
    <w:p>
      <w:pPr>
        <w:spacing w:before="0" w:after="0" w:line="408" w:lineRule="exact"/>
        <w:ind w:left="0" w:right="0" w:firstLine="576"/>
        <w:jc w:val="left"/>
      </w:pPr>
      <w:r>
        <w:rPr/>
        <w:t xml:space="preserve">Approved by the Governor March 13,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49c892b94d724e2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2048.SL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94b8b122244b55" /><Relationship Type="http://schemas.openxmlformats.org/officeDocument/2006/relationships/footer" Target="/word/footer1.xml" Id="R49c892b94d724e28" /></Relationships>
</file>