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8f909982645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2071</w:t>
      </w:r>
    </w:p>
    <w:p>
      <w:pPr>
        <w:jc w:val="center"/>
        <w:spacing w:before="480" w:after="0" w:line="240"/>
      </w:pPr>
      <w:r>
        <w:t xml:space="preserve">Chapter </w:t>
      </w:r>
      <w:r>
        <w:rPr/>
        <w:t xml:space="preserve">183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RESIDENTIAL BUILDING CODES—VARIOUS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66</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Duerr, Bateman, Fitzgibbon, Berry, Reed, Ormsby, Ramel, Pollet,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adding new sections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legislature finds that lowering the cost of middle and multiplex housing construction will increase the housing supply and help address the state's shortage of affordable housing. It further finds that home builders and residentially focused architects are more familiar with the provisions of the international residential code. Allowing middle and multiplex housing to be built according to the standards of the international residential code will result in housing being easier to build and more affordable without sacrificing quality and safety. Therefore, the legislature intends to simplify the production of middle and multiplex housing by allowing more types of housing to use provisions of the international residential code.</w:t>
      </w:r>
    </w:p>
    <w:p>
      <w:pPr>
        <w:spacing w:before="0" w:after="0" w:line="408" w:lineRule="exact"/>
        <w:ind w:left="0" w:right="0" w:firstLine="576"/>
        <w:jc w:val="left"/>
      </w:pPr>
      <w:r>
        <w:rPr/>
        <w:t xml:space="preserve">(2) The state building code council shall convene a technical advisory group for the purpose of recommending the additions or amendments to rules or codes that are necessary for the council to apply the Washington state residential code to multiplex housing. The technical advisory group shall determine the most efficient mechanism to implement these changes in the Washington state residential code. These recommendations must include those code changes necessary to ensure public health and safety in multifamily housing under the international residential code and must consider the life safety systems and accessibility requirements for multiplex housing from the Washington state building code.</w:t>
      </w:r>
    </w:p>
    <w:p>
      <w:pPr>
        <w:spacing w:before="0" w:after="0" w:line="408" w:lineRule="exact"/>
        <w:ind w:left="0" w:right="0" w:firstLine="576"/>
        <w:jc w:val="left"/>
      </w:pPr>
      <w:r>
        <w:rPr/>
        <w:t xml:space="preserve">(3) The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to apply the international residential code to multiplex housing by November 1, 2026.</w:t>
      </w:r>
    </w:p>
    <w:p>
      <w:pPr>
        <w:spacing w:before="0" w:after="0" w:line="408" w:lineRule="exact"/>
        <w:ind w:left="0" w:right="0" w:firstLine="576"/>
        <w:jc w:val="left"/>
      </w:pPr>
      <w:r>
        <w:rPr/>
        <w:t xml:space="preserve">(4)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amendments to the international building code that would allow for a minimum dwelling unit size that is less than the requirements for an efficiency dwelling unit in the international building code. The technical advisory group shall consider aligning the state building code sections related to interior environment with the relevant sections of the national healthy housing standard published by the national center for healthy housing. When developing the recommendations, the technical advisory group must review the differences between the state building code and the national healthy housing standard and allow experts in public health and fire safety to comment during the process.</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energy code plan set demonstrating a prescriptive compliance pathway that will meet or exceed all energy code regulations for residential housing in the state subject to the international residential code. The standard energy code plan set may be used, but is not required, by local governments and building industries. In developing the standard energy code plan set, the consultant shall, at a minimum, seek feedback from cities, counties, building industries, and building officials. The standard energy code plan set must be completed by June 30,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8ee90e2b313748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cec33a4a64ba2" /><Relationship Type="http://schemas.openxmlformats.org/officeDocument/2006/relationships/footer" Target="/word/footer1.xml" Id="R8ee90e2b31374818" /></Relationships>
</file>