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a700ef322440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2102</w:t>
      </w:r>
    </w:p>
    <w:p>
      <w:pPr>
        <w:jc w:val="center"/>
        <w:spacing w:before="480" w:after="0" w:line="240"/>
      </w:pPr>
      <w:r>
        <w:t xml:space="preserve">Chapter </w:t>
      </w:r>
      <w:r>
        <w:rPr/>
        <w:t xml:space="preserve">150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PAID FAMILY AND MEDICAL LEAVE—CERTIFICATION OF A SERIOUS HEALTH CONDITION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2102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Berry, Reed, Ormsby, Nance, and Pollet)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the disclosure of health care information for qualifying persons to receive paid family and medical leave benefits; amending RCW 70.02.030; and adding a new section to chapter 70.02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health care provider shall provide a certification of a serious health condition required by chapter 50A.15 RCW for qualifying a patient for paid family or medical leave, including any required documentation of a serious health condition, within seven calendar days of receipt of a request and authorization from the patient. Nothing in this section requires a provider to complete a certification for a serious health condition for which the provider does not have the necessary patient information.</w:t>
      </w:r>
    </w:p>
    <w:p>
      <w:pPr>
        <w:spacing w:before="0" w:after="0" w:line="408" w:lineRule="exact"/>
        <w:ind w:left="0" w:right="0" w:firstLine="576"/>
        <w:jc w:val="left"/>
      </w:pPr>
      <w:r>
        <w:rPr/>
        <w:t xml:space="preserve">(2) If a health care facility requires administrative review of information or documentation required by chapter 50A.15 RCW prior to allowing a provider to submit the certification of a serious health condition, then the facility shall implement and maintain policies and practices in conformance with subsection (1) of this section.</w:t>
      </w:r>
    </w:p>
    <w:p>
      <w:pPr>
        <w:spacing w:before="0" w:after="0" w:line="408" w:lineRule="exact"/>
        <w:ind w:left="0" w:right="0" w:firstLine="576"/>
        <w:jc w:val="left"/>
      </w:pPr>
      <w:r>
        <w:rPr/>
        <w:t xml:space="preserve">(3) A health care provider or health care facility may not charge a fee for the execution of a certification of a serious health condition under this section. This does not prohibit or limit the ability of a health care provider to charge a fee associated with any office visit necessary for evaluating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2018 c 87 s 1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(2)(a) Except as provided in (b) of this subsection </w:t>
      </w:r>
      <w:r>
        <w:rPr>
          <w:u w:val="single"/>
        </w:rPr>
        <w:t xml:space="preserve">and section 1 of this act</w:t>
      </w:r>
      <w:r>
        <w:rPr/>
        <w:t xml:space="preserve">, a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may complete a disclosure authorization specifying the health care information requested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5f434743342544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ce5b3efce44e1" /><Relationship Type="http://schemas.openxmlformats.org/officeDocument/2006/relationships/footer" Target="/word/footer1.xml" Id="R5f434743342544b7" /></Relationships>
</file>