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0efa50bb004d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2216</w:t>
      </w:r>
    </w:p>
    <w:p>
      <w:pPr>
        <w:jc w:val="center"/>
        <w:spacing w:before="480" w:after="0" w:line="240"/>
      </w:pPr>
      <w:r>
        <w:t xml:space="preserve">Chapter </w:t>
      </w:r>
      <w:r>
        <w:rPr/>
        <w:t xml:space="preserve">70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EMPLOYMENT—COLLEGE DEGREE REQUIREMENTS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2216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Cheney, Leavitt, Walen, Santos, Couture, Graham, Reed, Rude,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state employment by eliminating two-year and four-year degree requirements that are unnecessary; amending RCW 41.06.157;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reduce the number of positions in state employment that unnecessarily have requirements of completing a two-year or four-year college degree as the only way to meet the qualifications of a job. While the legislature recognizes that certain positions have a need for technical, scientific, or professional training that make a specialized course of study necessary, in other cases the requirement of a two-year or four-year college degree is added to job requirements as an indicator of general skills or knowledge, such as skills in writing, analysis, or presentations which are readily acquired in today's society through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2015 3rd sp.s. c 1 s 315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w:t>
      </w:r>
      <w:r>
        <w:t>((</w:t>
      </w:r>
      <w:r>
        <w:rPr>
          <w:strike/>
        </w:rPr>
        <w:t xml:space="preserve">and</w:t>
      </w:r>
      <w:r>
        <w:t>))</w:t>
      </w:r>
    </w:p>
    <w:p>
      <w:pPr>
        <w:spacing w:before="0" w:after="0" w:line="408" w:lineRule="exact"/>
        <w:ind w:left="0" w:right="0" w:firstLine="576"/>
        <w:jc w:val="left"/>
      </w:pPr>
      <w:r>
        <w:rPr/>
        <w:t xml:space="preserve">(f) Consider rates in other public employment and private employment in the state</w:t>
      </w:r>
      <w:r>
        <w:rPr>
          <w:u w:val="single"/>
        </w:rPr>
        <w:t xml:space="preserve">; and</w:t>
      </w:r>
    </w:p>
    <w:p>
      <w:pPr>
        <w:spacing w:before="0" w:after="0" w:line="408" w:lineRule="exact"/>
        <w:ind w:left="0" w:right="0" w:firstLine="576"/>
        <w:jc w:val="left"/>
      </w:pPr>
      <w:r>
        <w:rPr>
          <w:u w:val="single"/>
        </w:rPr>
        <w:t xml:space="preserve">(g) Not require a two-year or four-year college degree as the only way to demonstrate qualifications for the role unless that degree is required by law for an employee to perform the essential functions of a classification</w:t>
      </w:r>
      <w:r>
        <w:rPr/>
        <w:t xml:space="preserv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director of financial management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ed6fa8a67bde460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c43a7ef5640fb" /><Relationship Type="http://schemas.openxmlformats.org/officeDocument/2006/relationships/footer" Target="/word/footer1.xml" Id="Red6fa8a67bde460e" /></Relationships>
</file>