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6b4be5c2c49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2236</w:t>
      </w:r>
    </w:p>
    <w:p>
      <w:pPr>
        <w:jc w:val="center"/>
        <w:spacing w:before="480" w:after="0" w:line="240"/>
      </w:pPr>
      <w:r>
        <w:t xml:space="preserve">Chapter </w:t>
      </w:r>
      <w:r>
        <w:rPr/>
        <w:t xml:space="preserve">234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CAREER AND TECHNICAL EDUCATION—ALLIED HEALTH PROGRAM AND STATEWIDE TASK FORCE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Shavers, Santos, Reed, and Goodman)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new sections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program for providing instruction to students who are pursuing industry-recognized nondegree credentials that: (i) Lead to entry level positions in allied health professions; and (ii) lead or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that reflect consideration of the provisions in section 3(3)(c)(i) through (x) of this act, must be available for optional use in school districts and skill centers beginning in the 2027-28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core plus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w:t>
      </w:r>
    </w:p>
    <w:p>
      <w:pPr>
        <w:spacing w:before="0" w:after="0" w:line="408" w:lineRule="exact"/>
        <w:ind w:left="0" w:right="0" w:firstLine="576"/>
        <w:jc w:val="left"/>
      </w:pPr>
      <w:r>
        <w:rPr/>
        <w:t xml:space="preserve">(g) A representative from a skill center as selected by the Washington state skill center association;</w:t>
      </w:r>
    </w:p>
    <w:p>
      <w:pPr>
        <w:spacing w:before="0" w:after="0" w:line="408" w:lineRule="exact"/>
        <w:ind w:left="0" w:right="0" w:firstLine="576"/>
        <w:jc w:val="left"/>
      </w:pPr>
      <w:r>
        <w:rPr/>
        <w:t xml:space="preserve">(h) A representative from the allied health industry; and</w:t>
      </w:r>
    </w:p>
    <w:p>
      <w:pPr>
        <w:spacing w:before="0" w:after="0" w:line="408" w:lineRule="exact"/>
        <w:ind w:left="0" w:right="0" w:firstLine="576"/>
        <w:jc w:val="left"/>
      </w:pPr>
      <w:r>
        <w:rPr/>
        <w:t xml:space="preserve">(i)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f5ad405fbffc4b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82839a03c4e79" /><Relationship Type="http://schemas.openxmlformats.org/officeDocument/2006/relationships/footer" Target="/word/footer1.xml" Id="Rf5ad405fbffc4beb" /></Relationships>
</file>