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420878a3424f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2256</w:t>
      </w:r>
    </w:p>
    <w:p>
      <w:pPr>
        <w:jc w:val="center"/>
        <w:spacing w:before="480" w:after="0" w:line="240"/>
      </w:pPr>
      <w:r>
        <w:t xml:space="preserve">Chapter </w:t>
      </w:r>
      <w:r>
        <w:rPr/>
        <w:t xml:space="preserve">372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CHILDREN AND YOUTH BEHAVIORAL HEALTH WORK GROUP—MODIFICATION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2256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Callan, Eslick, Senn, Davis, Paul, Thai, Ormsby, Pollet, and Macri)</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2022 c 76 s 1 are each amended to read as follows:</w:t>
      </w:r>
    </w:p>
    <w:p>
      <w:pPr>
        <w:spacing w:before="0" w:after="0" w:line="408" w:lineRule="exact"/>
        <w:ind w:left="0" w:right="0" w:firstLine="576"/>
        <w:jc w:val="left"/>
      </w:pPr>
      <w:r>
        <w:rPr/>
        <w:t xml:space="preserve">(1) The children and youth behavioral health work group is established to </w:t>
      </w:r>
      <w:r>
        <w:t>((</w:t>
      </w:r>
      <w:r>
        <w:rPr>
          <w:strike/>
        </w:rPr>
        <w:t xml:space="preserve">identify</w:t>
      </w:r>
      <w:r>
        <w:t>))</w:t>
      </w:r>
      <w:r>
        <w:rPr>
          <w:u w:val="single"/>
        </w:rPr>
        <w:t xml:space="preserve">:</w:t>
      </w:r>
    </w:p>
    <w:p>
      <w:pPr>
        <w:spacing w:before="0" w:after="0" w:line="408" w:lineRule="exact"/>
        <w:ind w:left="0" w:right="0" w:firstLine="576"/>
        <w:jc w:val="left"/>
      </w:pPr>
      <w:r>
        <w:rPr>
          <w:u w:val="single"/>
        </w:rPr>
        <w:t xml:space="preserve">(a) Identify</w:t>
      </w:r>
      <w:r>
        <w:rPr/>
        <w:t xml:space="preserve"> barriers to and opportunities for accessing behavioral health services for children</w:t>
      </w:r>
      <w:r>
        <w:rPr>
          <w:u w:val="single"/>
        </w:rPr>
        <w:t xml:space="preserve">, youth, and young adults</w:t>
      </w:r>
      <w:r>
        <w:rPr/>
        <w:t xml:space="preserve"> and their families</w:t>
      </w:r>
      <w:r>
        <w:t>((</w:t>
      </w:r>
      <w:r>
        <w:rPr>
          <w:strike/>
        </w:rPr>
        <w:t xml:space="preserve">, and to advise</w:t>
      </w:r>
      <w:r>
        <w:t>))</w:t>
      </w:r>
      <w:r>
        <w:rPr>
          <w:u w:val="single"/>
        </w:rPr>
        <w:t xml:space="preserve">;</w:t>
      </w:r>
    </w:p>
    <w:p>
      <w:pPr>
        <w:spacing w:before="0" w:after="0" w:line="408" w:lineRule="exact"/>
        <w:ind w:left="0" w:right="0" w:firstLine="576"/>
        <w:jc w:val="left"/>
      </w:pPr>
      <w:r>
        <w:rPr>
          <w:u w:val="single"/>
        </w:rPr>
        <w:t xml:space="preserve">(b) Strengthen and build a coordinated systemic approach to providing behavioral health care and supports that ensure that all children, youth, young adults, and their families have timely access to high quality, equitable, well-resourced behavioral health education, care, and supports across the continuum when and where they need it, including prenatal care; and</w:t>
      </w:r>
    </w:p>
    <w:p>
      <w:pPr>
        <w:spacing w:before="0" w:after="0" w:line="408" w:lineRule="exact"/>
        <w:ind w:left="0" w:right="0" w:firstLine="576"/>
        <w:jc w:val="left"/>
      </w:pPr>
      <w:r>
        <w:rPr>
          <w:u w:val="single"/>
        </w:rPr>
        <w:t xml:space="preserve">(c) Advise</w:t>
      </w:r>
      <w:r>
        <w:rPr/>
        <w:t xml:space="preserv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w:t>
      </w:r>
      <w:r>
        <w:t>((</w:t>
      </w:r>
      <w:r>
        <w:rPr>
          <w:strike/>
        </w:rPr>
        <w:t xml:space="preserve">The</w:t>
      </w:r>
      <w:r>
        <w:t>))</w:t>
      </w:r>
      <w:r>
        <w:rPr/>
        <w:t xml:space="preserve"> </w:t>
      </w:r>
      <w:r>
        <w:rPr>
          <w:u w:val="single"/>
        </w:rPr>
        <w:t xml:space="preserve">Subject to the requirements under (k) of this subsection, the</w:t>
      </w:r>
      <w:r>
        <w:rPr/>
        <w:t xml:space="preserv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w:t>
      </w:r>
      <w:r>
        <w:t>((</w:t>
      </w:r>
      <w:r>
        <w:rPr>
          <w:strike/>
        </w:rPr>
        <w:t xml:space="preserve">Two</w:t>
      </w:r>
      <w:r>
        <w:t>))</w:t>
      </w:r>
      <w:r>
        <w:rPr/>
        <w:t xml:space="preserve"> </w:t>
      </w:r>
      <w:r>
        <w:rPr>
          <w:u w:val="single"/>
        </w:rPr>
        <w:t xml:space="preserve">Three</w:t>
      </w:r>
      <w:r>
        <w:rPr/>
        <w:t xml:space="preserve"> youth </w:t>
      </w:r>
      <w:r>
        <w:rPr>
          <w:u w:val="single"/>
        </w:rPr>
        <w:t xml:space="preserve">or young adult</w:t>
      </w:r>
      <w:r>
        <w:rPr/>
        <w:t xml:space="preserve"> representatives who have </w:t>
      </w:r>
      <w:r>
        <w:t>((</w:t>
      </w:r>
      <w:r>
        <w:rPr>
          <w:strike/>
        </w:rPr>
        <w:t xml:space="preserve">received</w:t>
      </w:r>
      <w:r>
        <w:t>))</w:t>
      </w:r>
      <w:r>
        <w:rPr/>
        <w:t xml:space="preserve"> </w:t>
      </w:r>
      <w:r>
        <w:rPr>
          <w:u w:val="single"/>
        </w:rPr>
        <w:t xml:space="preserve">experience with</w:t>
      </w:r>
      <w:r>
        <w:rPr/>
        <w:t xml:space="preserve">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w:t>
      </w:r>
      <w:r>
        <w:t>((</w:t>
      </w:r>
      <w:r>
        <w:rPr>
          <w:strike/>
        </w:rPr>
        <w:t xml:space="preserve">and</w:t>
      </w:r>
      <w:r>
        <w:t>))</w:t>
      </w:r>
    </w:p>
    <w:p>
      <w:pPr>
        <w:spacing w:before="0" w:after="0" w:line="408" w:lineRule="exact"/>
        <w:ind w:left="0" w:right="0" w:firstLine="576"/>
        <w:jc w:val="left"/>
      </w:pPr>
      <w:r>
        <w:rPr/>
        <w:t xml:space="preserve">(xx) </w:t>
      </w:r>
      <w:r>
        <w:rPr>
          <w:u w:val="single"/>
        </w:rPr>
        <w:t xml:space="preserve">One representative from educational service districts established under chapter 28A.310 RCW; and</w:t>
      </w:r>
    </w:p>
    <w:p>
      <w:pPr>
        <w:spacing w:before="0" w:after="0" w:line="408" w:lineRule="exact"/>
        <w:ind w:left="0" w:right="0" w:firstLine="576"/>
        <w:jc w:val="left"/>
      </w:pPr>
      <w:r>
        <w:rPr>
          <w:u w:val="single"/>
        </w:rPr>
        <w:t xml:space="preserve">(xxi)</w:t>
      </w:r>
      <w:r>
        <w:rPr/>
        <w:t xml:space="preserve">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w:t>
      </w:r>
      <w:r>
        <w:t>((</w:t>
      </w:r>
      <w:r>
        <w:rPr>
          <w:strike/>
        </w:rPr>
        <w:t xml:space="preserve">its cochairs,</w:t>
      </w:r>
      <w:r>
        <w:t>))</w:t>
      </w:r>
      <w:r>
        <w:rPr/>
        <w:t xml:space="preserve"> one </w:t>
      </w:r>
      <w:r>
        <w:rPr>
          <w:u w:val="single"/>
        </w:rPr>
        <w:t xml:space="preserve">of the work group's cochairs</w:t>
      </w:r>
      <w:r>
        <w:rPr/>
        <w:t xml:space="preserve"> from among its legislative members and </w:t>
      </w:r>
      <w:r>
        <w:t>((</w:t>
      </w:r>
      <w:r>
        <w:rPr>
          <w:strike/>
        </w:rPr>
        <w:t xml:space="preserve">one from among the executive branch members</w:t>
      </w:r>
      <w:r>
        <w:t>))</w:t>
      </w:r>
      <w:r>
        <w:rPr/>
        <w:t xml:space="preserve"> </w:t>
      </w:r>
      <w:r>
        <w:rPr>
          <w:u w:val="single"/>
        </w:rPr>
        <w:t xml:space="preserve">the other cochair must be the representative from the health care authority</w:t>
      </w:r>
      <w:r>
        <w:rPr/>
        <w:t xml:space="preserve">. The representative from the health care authority shall convene at least two</w:t>
      </w:r>
      <w:r>
        <w:t>((</w:t>
      </w:r>
      <w:r>
        <w:rPr>
          <w:strike/>
        </w:rPr>
        <w:t xml:space="preserve">, but not more than six,</w:t>
      </w:r>
      <w:r>
        <w:t>))</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u w:val="single"/>
        </w:rPr>
        <w:t xml:space="preserve">(j) The cochairs may request that the governor appoint additional members of the work group representing specific professions, organizations, or communities. The governor's office may consult with the cochairs as needed on these discretionary appointments.</w:t>
      </w:r>
    </w:p>
    <w:p>
      <w:pPr>
        <w:spacing w:before="0" w:after="0" w:line="408" w:lineRule="exact"/>
        <w:ind w:left="0" w:right="0" w:firstLine="576"/>
        <w:jc w:val="left"/>
      </w:pPr>
      <w:r>
        <w:rPr>
          <w:u w:val="single"/>
        </w:rPr>
        <w:t xml:space="preserve">(k) The terms for work group members appointed under (d) of this subsection after the effective date of this section may not exceed three years. Work group members appointed under (d) of this subsection before the effective date of this section may remain in their positions until January 1, 2027, but their terms may not go beyond that date.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w:t>
      </w:r>
      <w:r>
        <w:t>((</w:t>
      </w:r>
      <w:r>
        <w:rPr>
          <w:strike/>
        </w:rPr>
        <w:t xml:space="preserve">and</w:t>
      </w:r>
      <w:r>
        <w:t>))</w:t>
      </w:r>
    </w:p>
    <w:p>
      <w:pPr>
        <w:spacing w:before="0" w:after="0" w:line="408" w:lineRule="exact"/>
        <w:ind w:left="0" w:right="0" w:firstLine="576"/>
        <w:jc w:val="left"/>
      </w:pPr>
      <w:r>
        <w:rPr/>
        <w:t xml:space="preserve">(iii) Develop and sustain system improvements to support the behavioral health needs of children </w:t>
      </w:r>
      <w:r>
        <w:t>((</w:t>
      </w:r>
      <w:r>
        <w:rPr>
          <w:strike/>
        </w:rPr>
        <w:t xml:space="preserve">and</w:t>
      </w:r>
      <w:r>
        <w:t>))</w:t>
      </w:r>
      <w:r>
        <w:rPr>
          <w:u w:val="single"/>
        </w:rPr>
        <w:t xml:space="preserve">,</w:t>
      </w:r>
      <w:r>
        <w:rPr/>
        <w:t xml:space="preserve"> youth</w:t>
      </w:r>
      <w:r>
        <w:rPr>
          <w:u w:val="single"/>
        </w:rPr>
        <w:t xml:space="preserve">, and young adults; and</w:t>
      </w:r>
    </w:p>
    <w:p>
      <w:pPr>
        <w:spacing w:before="0" w:after="0" w:line="408" w:lineRule="exact"/>
        <w:ind w:left="0" w:right="0" w:firstLine="576"/>
        <w:jc w:val="left"/>
      </w:pPr>
      <w:r>
        <w:rPr>
          <w:u w:val="single"/>
        </w:rPr>
        <w:t xml:space="preserve">(iv) Achieve parity of private health insurance coverage for behavioral health conditions with the coverage provided for other health conditions</w:t>
      </w:r>
      <w:r>
        <w:rPr/>
        <w:t xml:space="preserve">;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w:t>
      </w:r>
      <w:r>
        <w:t>((</w:t>
      </w:r>
      <w:r>
        <w:rPr>
          <w:strike/>
        </w:rPr>
        <w:t xml:space="preserve">kindergarten</w:t>
      </w:r>
      <w:r>
        <w:t>))</w:t>
      </w:r>
      <w:r>
        <w:rPr/>
        <w:t xml:space="preserve"> </w:t>
      </w:r>
      <w:r>
        <w:rPr>
          <w:u w:val="single"/>
        </w:rPr>
        <w:t xml:space="preserve">preschool</w:t>
      </w:r>
      <w:r>
        <w:rPr/>
        <w:t xml:space="preserve">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w:t>
      </w:r>
      <w:r>
        <w:rPr>
          <w:u w:val="single"/>
        </w:rPr>
        <w:t xml:space="preserve">The school-based behavioral health and suicide prevention advisory group shall consider the broader behavioral health issues impacting children, youth, and families, while focusing on the issues that are unique to children and families that interface with schools.</w:t>
      </w:r>
      <w:r>
        <w:rPr/>
        <w:t xml:space="preserve"> The work group cochairs may invite nonwork group members to participate as advisory group members.</w:t>
      </w:r>
    </w:p>
    <w:p>
      <w:pPr>
        <w:spacing w:before="0" w:after="0" w:line="408" w:lineRule="exact"/>
        <w:ind w:left="0" w:right="0" w:firstLine="576"/>
        <w:jc w:val="left"/>
      </w:pPr>
      <w:r>
        <w:rPr/>
        <w:t xml:space="preserve">(6)(a) 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t xml:space="preserve">(D) The current behavioral health care oversight and management of services and systems;</w:t>
      </w:r>
    </w:p>
    <w:p>
      <w:pPr>
        <w:spacing w:before="0" w:after="0" w:line="408" w:lineRule="exact"/>
        <w:ind w:left="0" w:right="0" w:firstLine="576"/>
        <w:jc w:val="left"/>
      </w:pPr>
      <w:r>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t xml:space="preserve">(E) The oversight and management needed to ensure effective behavioral health care; and</w:t>
      </w:r>
    </w:p>
    <w:p>
      <w:pPr>
        <w:spacing w:before="0" w:after="0" w:line="408" w:lineRule="exact"/>
        <w:ind w:left="0" w:right="0" w:firstLine="576"/>
        <w:jc w:val="left"/>
      </w:pPr>
      <w:r>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t xml:space="preserve">(b) The work group cochairs </w:t>
      </w:r>
      <w:r>
        <w:rPr>
          <w:u w:val="single"/>
        </w:rPr>
        <w:t xml:space="preserve">shall appoint a chair for the strategic plan advisory group and</w:t>
      </w:r>
      <w:r>
        <w:rPr/>
        <w:t xml:space="preserve"> may invite nonwork group members to participate as advisory group members, but the strategic plan advisory group shall include, at a minimum:</w:t>
      </w:r>
    </w:p>
    <w:p>
      <w:pPr>
        <w:spacing w:before="0" w:after="0" w:line="408" w:lineRule="exact"/>
        <w:ind w:left="0" w:right="0" w:firstLine="576"/>
        <w:jc w:val="left"/>
      </w:pPr>
      <w:r>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t xml:space="preserve">(ii) A representative from the department of children, youth, and families;</w:t>
      </w:r>
    </w:p>
    <w:p>
      <w:pPr>
        <w:spacing w:before="0" w:after="0" w:line="408" w:lineRule="exact"/>
        <w:ind w:left="0" w:right="0" w:firstLine="576"/>
        <w:jc w:val="left"/>
      </w:pPr>
      <w:r>
        <w:rPr/>
        <w:t xml:space="preserve">(iii) A representative from the department;</w:t>
      </w:r>
    </w:p>
    <w:p>
      <w:pPr>
        <w:spacing w:before="0" w:after="0" w:line="408" w:lineRule="exact"/>
        <w:ind w:left="0" w:right="0" w:firstLine="576"/>
        <w:jc w:val="left"/>
      </w:pPr>
      <w:r>
        <w:rPr/>
        <w:t xml:space="preserve">(iv) A representative from the authority;</w:t>
      </w:r>
    </w:p>
    <w:p>
      <w:pPr>
        <w:spacing w:before="0" w:after="0" w:line="408" w:lineRule="exact"/>
        <w:ind w:left="0" w:right="0" w:firstLine="576"/>
        <w:jc w:val="left"/>
      </w:pPr>
      <w:r>
        <w:rPr/>
        <w:t xml:space="preserve">(v) A representative from the department of health;</w:t>
      </w:r>
    </w:p>
    <w:p>
      <w:pPr>
        <w:spacing w:before="0" w:after="0" w:line="408" w:lineRule="exact"/>
        <w:ind w:left="0" w:right="0" w:firstLine="576"/>
        <w:jc w:val="left"/>
      </w:pPr>
      <w:r>
        <w:rPr/>
        <w:t xml:space="preserve">(vi) A representative from the office of homeless youth prevention and protection programs;</w:t>
      </w:r>
    </w:p>
    <w:p>
      <w:pPr>
        <w:spacing w:before="0" w:after="0" w:line="408" w:lineRule="exact"/>
        <w:ind w:left="0" w:right="0" w:firstLine="576"/>
        <w:jc w:val="left"/>
      </w:pPr>
      <w:r>
        <w:rPr/>
        <w:t xml:space="preserve">(vii) A representative from the office of the governor;</w:t>
      </w:r>
    </w:p>
    <w:p>
      <w:pPr>
        <w:spacing w:before="0" w:after="0" w:line="408" w:lineRule="exact"/>
        <w:ind w:left="0" w:right="0" w:firstLine="576"/>
        <w:jc w:val="left"/>
      </w:pPr>
      <w:r>
        <w:rPr/>
        <w:t xml:space="preserve">(viii) A representative from the developmental disability administration of the department of social and health services;</w:t>
      </w:r>
    </w:p>
    <w:p>
      <w:pPr>
        <w:spacing w:before="0" w:after="0" w:line="408" w:lineRule="exact"/>
        <w:ind w:left="0" w:right="0" w:firstLine="576"/>
        <w:jc w:val="left"/>
      </w:pPr>
      <w:r>
        <w:rPr/>
        <w:t xml:space="preserve">(ix) A representative from the office of the superintendent of public instruction;</w:t>
      </w:r>
    </w:p>
    <w:p>
      <w:pPr>
        <w:spacing w:before="0" w:after="0" w:line="408" w:lineRule="exact"/>
        <w:ind w:left="0" w:right="0" w:firstLine="576"/>
        <w:jc w:val="left"/>
      </w:pPr>
      <w:r>
        <w:rPr/>
        <w:t xml:space="preserve">(x) A representative from the office of the insurance commissioner;</w:t>
      </w:r>
    </w:p>
    <w:p>
      <w:pPr>
        <w:spacing w:before="0" w:after="0" w:line="408" w:lineRule="exact"/>
        <w:ind w:left="0" w:right="0" w:firstLine="576"/>
        <w:jc w:val="left"/>
      </w:pPr>
      <w:r>
        <w:rPr/>
        <w:t xml:space="preserve">(xi) A tribal representative;</w:t>
      </w:r>
    </w:p>
    <w:p>
      <w:pPr>
        <w:spacing w:before="0" w:after="0" w:line="408" w:lineRule="exact"/>
        <w:ind w:left="0" w:right="0" w:firstLine="576"/>
        <w:jc w:val="left"/>
      </w:pPr>
      <w:r>
        <w:rPr/>
        <w:t xml:space="preserve">(xii) Two legislative members or alternates from the work group; and</w:t>
      </w:r>
    </w:p>
    <w:p>
      <w:pPr>
        <w:spacing w:before="0" w:after="0" w:line="408" w:lineRule="exact"/>
        <w:ind w:left="0" w:right="0" w:firstLine="576"/>
        <w:jc w:val="left"/>
      </w:pPr>
      <w:r>
        <w:rPr/>
        <w:t xml:space="preserve">(xiii) Individuals invited by the work group cochairs with relevant subject matter expertise.</w:t>
      </w:r>
    </w:p>
    <w:p>
      <w:pPr>
        <w:spacing w:before="0" w:after="0" w:line="408" w:lineRule="exact"/>
        <w:ind w:left="0" w:right="0" w:firstLine="576"/>
        <w:jc w:val="left"/>
      </w:pPr>
      <w:r>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t xml:space="preserve">(B) Current gaps in the service continuum, areas without access to services, workforce demand, and capacity shortages;</w:t>
      </w:r>
    </w:p>
    <w:p>
      <w:pPr>
        <w:spacing w:before="0" w:after="0" w:line="408" w:lineRule="exact"/>
        <w:ind w:left="0" w:right="0" w:firstLine="576"/>
        <w:jc w:val="left"/>
      </w:pPr>
      <w:r>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t xml:space="preserve">(D) Incorporated information provided by the 988 crisis hotline crisis response improvement strategy committee </w:t>
      </w:r>
      <w:r>
        <w:t>((</w:t>
      </w:r>
      <w:r>
        <w:rPr>
          <w:strike/>
        </w:rPr>
        <w:t xml:space="preserve">as required under RCW 71.24.893</w:t>
      </w:r>
      <w:r>
        <w:t>))</w:t>
      </w:r>
      <w:r>
        <w:rPr/>
        <w:t xml:space="preserve">;</w:t>
      </w:r>
    </w:p>
    <w:p>
      <w:pPr>
        <w:spacing w:before="0" w:after="0" w:line="408" w:lineRule="exact"/>
        <w:ind w:left="0" w:right="0" w:firstLine="576"/>
        <w:jc w:val="left"/>
      </w:pPr>
      <w:r>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t xml:space="preserve">(B) The estimated number of expectant parents and caregivers in need of behavioral health services;</w:t>
      </w:r>
    </w:p>
    <w:p>
      <w:pPr>
        <w:spacing w:before="0" w:after="0" w:line="408" w:lineRule="exact"/>
        <w:ind w:left="0" w:right="0" w:firstLine="576"/>
        <w:jc w:val="left"/>
      </w:pPr>
      <w:r>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t xml:space="preserve">(A) Approaches to increasing access and quality of care for underserved populations;</w:t>
      </w:r>
    </w:p>
    <w:p>
      <w:pPr>
        <w:spacing w:before="0" w:after="0" w:line="408" w:lineRule="exact"/>
        <w:ind w:left="0" w:right="0" w:firstLine="576"/>
        <w:jc w:val="left"/>
      </w:pPr>
      <w:r>
        <w:rPr/>
        <w:t xml:space="preserve">(B) Approaches to providing developmentally appropriate care;</w:t>
      </w:r>
    </w:p>
    <w:p>
      <w:pPr>
        <w:spacing w:before="0" w:after="0" w:line="408" w:lineRule="exact"/>
        <w:ind w:left="0" w:right="0" w:firstLine="576"/>
        <w:jc w:val="left"/>
      </w:pPr>
      <w:r>
        <w:rPr/>
        <w:t xml:space="preserve">(C) The integration of culturally responsive care with effective clinical care practices and guidelines;</w:t>
      </w:r>
    </w:p>
    <w:p>
      <w:pPr>
        <w:spacing w:before="0" w:after="0" w:line="408" w:lineRule="exact"/>
        <w:ind w:left="0" w:right="0" w:firstLine="576"/>
        <w:jc w:val="left"/>
      </w:pPr>
      <w:r>
        <w:rPr/>
        <w:t xml:space="preserve">(D) Strategies to maximize federal reinvestment and resources from any alternative funding sources; and</w:t>
      </w:r>
    </w:p>
    <w:p>
      <w:pPr>
        <w:spacing w:before="0" w:after="0" w:line="408" w:lineRule="exact"/>
        <w:ind w:left="0" w:right="0" w:firstLine="576"/>
        <w:jc w:val="left"/>
      </w:pPr>
      <w:r>
        <w:rPr/>
        <w:t xml:space="preserve">(E) Workforce development strategies that ensure a sustained, representative, and diverse workforce.</w:t>
      </w:r>
    </w:p>
    <w:p>
      <w:pPr>
        <w:spacing w:before="0" w:after="0" w:line="408" w:lineRule="exact"/>
        <w:ind w:left="0" w:right="0" w:firstLine="576"/>
        <w:jc w:val="left"/>
      </w:pPr>
      <w:r>
        <w:rPr/>
        <w:t xml:space="preserve">(e) The strategic plan advisory group shall prioritize its work as follows:</w:t>
      </w:r>
    </w:p>
    <w:p>
      <w:pPr>
        <w:spacing w:before="0" w:after="0" w:line="408" w:lineRule="exact"/>
        <w:ind w:left="0" w:right="0" w:firstLine="576"/>
        <w:jc w:val="left"/>
      </w:pPr>
      <w:r>
        <w:rPr/>
        <w:t xml:space="preserve">(i) Hold its first meeting by September 1, 2022;</w:t>
      </w:r>
    </w:p>
    <w:p>
      <w:pPr>
        <w:spacing w:before="0" w:after="0" w:line="408" w:lineRule="exact"/>
        <w:ind w:left="0" w:right="0" w:firstLine="576"/>
        <w:jc w:val="left"/>
      </w:pPr>
      <w:r>
        <w:rPr/>
        <w:t xml:space="preserve">(ii) </w:t>
      </w:r>
      <w:r>
        <w:t>((</w:t>
      </w:r>
      <w:r>
        <w:rPr>
          <w:strike/>
        </w:rPr>
        <w:t xml:space="preserve">Select third-party entities described under (d) of this subsection by December 31, 2022;</w:t>
      </w:r>
    </w:p>
    <w:p>
      <w:pPr>
        <w:spacing w:before="0" w:after="0" w:line="408" w:lineRule="exact"/>
        <w:ind w:left="0" w:right="0" w:firstLine="576"/>
        <w:jc w:val="left"/>
      </w:pPr>
      <w:r>
        <w:rPr>
          <w:strike/>
        </w:rPr>
        <w:t xml:space="preserve">(iii)</w:t>
      </w:r>
      <w:r>
        <w:t>))</w:t>
      </w:r>
      <w:r>
        <w:rPr/>
        <w:t xml:space="preserve">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Provide a progress report on the development of the strategic plan, including discussion of the work group recommendations that align with the strategic plan development thus far, to be included in the work group's </w:t>
      </w:r>
      <w:r>
        <w:t>((</w:t>
      </w:r>
      <w:r>
        <w:rPr>
          <w:strike/>
        </w:rPr>
        <w:t xml:space="preserve">2023</w:t>
      </w:r>
      <w:r>
        <w:t>))</w:t>
      </w:r>
      <w:r>
        <w:rPr/>
        <w:t xml:space="preserve"> </w:t>
      </w:r>
      <w:r>
        <w:rPr>
          <w:u w:val="single"/>
        </w:rPr>
        <w:t xml:space="preserve">2024</w:t>
      </w:r>
      <w:r>
        <w:rPr/>
        <w:t xml:space="preserve"> annual report required under subsection (10) of this section;</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Provide a draft strategic plan, along with any materials produced by entities selected under (d) of this subsection, to the work group by </w:t>
      </w:r>
      <w:r>
        <w:t>((</w:t>
      </w:r>
      <w:r>
        <w:rPr>
          <w:strike/>
        </w:rPr>
        <w:t xml:space="preserve">October 1, 2024</w:t>
      </w:r>
      <w:r>
        <w:t>))</w:t>
      </w:r>
      <w:r>
        <w:rPr/>
        <w:t xml:space="preserve"> </w:t>
      </w:r>
      <w:r>
        <w:rPr>
          <w:u w:val="single"/>
        </w:rPr>
        <w:t xml:space="preserve">August 1, 2025</w:t>
      </w:r>
      <w:r>
        <w:rPr/>
        <w:t xml:space="preserve">. The draft strategic plan must </w:t>
      </w:r>
      <w:r>
        <w:t>((</w:t>
      </w:r>
      <w:r>
        <w:rPr>
          <w:strike/>
        </w:rPr>
        <w:t xml:space="preserve">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r>
        <w:t>))</w:t>
      </w:r>
      <w:r>
        <w:rPr/>
        <w:t xml:space="preserve"> </w:t>
      </w:r>
      <w:r>
        <w:rPr>
          <w:u w:val="single"/>
        </w:rPr>
        <w:t xml:space="preserve">be developed in coordination with the joint legislative and executive committee on behavioral health established in section 135(15), chapter 475, Laws of 2023, the department of health, and the health care authority related to the implementation of the 988 crisis hotline</w:t>
      </w:r>
      <w:r>
        <w:rPr/>
        <w:t xml:space="preserve">.</w:t>
      </w:r>
    </w:p>
    <w:p>
      <w:pPr>
        <w:spacing w:before="0" w:after="0" w:line="408" w:lineRule="exact"/>
        <w:ind w:left="0" w:right="0" w:firstLine="576"/>
        <w:jc w:val="left"/>
      </w:pPr>
      <w:r>
        <w:rPr/>
        <w:t xml:space="preserve">(f) The work group shall discuss the draft strategic plan </w:t>
      </w:r>
      <w:r>
        <w:t>((</w:t>
      </w:r>
      <w:r>
        <w:rPr>
          <w:strike/>
        </w:rPr>
        <w:t xml:space="preserve">and action plan after they are submitted</w:t>
      </w:r>
      <w:r>
        <w:t>))</w:t>
      </w:r>
      <w:r>
        <w:rPr/>
        <w:t xml:space="preserve"> and adopt a final strategic plan that must be submitted to the governor and the appropriate committees of the legislature at the same time as the work group's </w:t>
      </w:r>
      <w:r>
        <w:t>((</w:t>
      </w:r>
      <w:r>
        <w:rPr>
          <w:strike/>
        </w:rPr>
        <w:t xml:space="preserve">2024</w:t>
      </w:r>
      <w:r>
        <w:t>))</w:t>
      </w:r>
      <w:r>
        <w:rPr/>
        <w:t xml:space="preserve"> </w:t>
      </w:r>
      <w:r>
        <w:rPr>
          <w:u w:val="single"/>
        </w:rPr>
        <w:t xml:space="preserve">2025</w:t>
      </w:r>
      <w:r>
        <w:rPr/>
        <w:t xml:space="preserve"> annual report required under subsection (10) of this section.</w:t>
      </w:r>
    </w:p>
    <w:p>
      <w:pPr>
        <w:spacing w:before="0" w:after="0" w:line="408" w:lineRule="exact"/>
        <w:ind w:left="0" w:right="0" w:firstLine="576"/>
        <w:jc w:val="left"/>
      </w:pPr>
      <w:r>
        <w:rPr/>
        <w:t xml:space="preserve">(7)(a)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(8)(a)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(b) of this subsection, any reimbursement for other nonlegislative members is subject to chapter 43.03 RCW.</w:t>
      </w:r>
    </w:p>
    <w:p>
      <w:pPr>
        <w:spacing w:before="0" w:after="0" w:line="408" w:lineRule="exact"/>
        <w:ind w:left="0" w:right="0" w:firstLine="576"/>
        <w:jc w:val="left"/>
      </w:pPr>
      <w:r>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t xml:space="preserve">(9) The following definitions apply to this section:</w:t>
      </w:r>
    </w:p>
    <w:p>
      <w:pPr>
        <w:spacing w:before="0" w:after="0" w:line="408" w:lineRule="exact"/>
        <w:ind w:left="0" w:right="0" w:firstLine="576"/>
        <w:jc w:val="left"/>
      </w:pPr>
      <w:r>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t xml:space="preserve">(b) "Families in the perinatal phase" means families during the time from pregnancy through one year after birth.</w:t>
      </w:r>
    </w:p>
    <w:p>
      <w:pPr>
        <w:spacing w:before="0" w:after="0" w:line="408" w:lineRule="exact"/>
        <w:ind w:left="0" w:right="0" w:firstLine="576"/>
        <w:jc w:val="left"/>
      </w:pPr>
      <w:r>
        <w:rPr/>
        <w:t xml:space="preserve">(10) Beginning November 1, 2020, and annually thereafter, the work group shall provide recommendations in alignment with subsection (3) of this section to the governor and the legislature. Beginning November 1, </w:t>
      </w:r>
      <w:r>
        <w:t>((</w:t>
      </w:r>
      <w:r>
        <w:rPr>
          <w:strike/>
        </w:rPr>
        <w:t xml:space="preserve">2025</w:t>
      </w:r>
      <w:r>
        <w:t>))</w:t>
      </w:r>
      <w:r>
        <w:rPr/>
        <w:t xml:space="preserve"> </w:t>
      </w:r>
      <w:r>
        <w:rPr>
          <w:u w:val="single"/>
        </w:rPr>
        <w:t xml:space="preserve">2026</w:t>
      </w:r>
      <w:r>
        <w:rPr/>
        <w:t xml:space="preserve">, the work group shall include in its annual report a discussion of how the work group's recommendations align with the final strategic plan described under subsection (6) of this section.</w:t>
      </w:r>
    </w:p>
    <w:p>
      <w:pPr>
        <w:spacing w:before="0" w:after="0" w:line="408" w:lineRule="exact"/>
        <w:ind w:left="0" w:right="0" w:firstLine="576"/>
        <w:jc w:val="left"/>
      </w:pPr>
      <w:r>
        <w:rPr/>
        <w:t xml:space="preserve">(11) This section expires December 30, </w:t>
      </w:r>
      <w:r>
        <w:t>((</w:t>
      </w:r>
      <w:r>
        <w:rPr>
          <w:strike/>
        </w:rPr>
        <w:t xml:space="preserve">2026</w:t>
      </w:r>
      <w:r>
        <w:t>))</w:t>
      </w:r>
      <w:r>
        <w:rPr/>
        <w:t xml:space="preserve"> </w:t>
      </w:r>
      <w:r>
        <w:rPr>
          <w:u w:val="single"/>
        </w:rPr>
        <w:t xml:space="preserve">2029</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a8648354bf84414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d166b6a434e39" /><Relationship Type="http://schemas.openxmlformats.org/officeDocument/2006/relationships/footer" Target="/word/footer1.xml" Id="Ra8648354bf84414b" /></Relationships>
</file>