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a0abb054240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2347</w:t>
      </w:r>
    </w:p>
    <w:p>
      <w:pPr>
        <w:jc w:val="center"/>
        <w:spacing w:before="480" w:after="0" w:line="240"/>
      </w:pPr>
      <w:r>
        <w:t xml:space="preserve">Chapter </w:t>
      </w:r>
      <w:r>
        <w:rPr/>
        <w:t xml:space="preserve">235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ADULT FAMILY HOMES—DEPARTMENT OF SOCIAL AND HEALTH SERVICES—INFORMATION ON WEBSITE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Reeves, Harris, Chambers, Davis, Bateman, Doglio, Macri,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website information published by the department of social and health services regarding adult family homes; and amending RCW 70.128.280.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website for family members, residents, and prospective residents of adult family homes in Washington. The department may contract with outside vendors and experts to assist in the development of the website. The website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website should include a searchable list of all adult family homes in Washington, with links to </w:t>
      </w:r>
      <w:r>
        <w:t>((</w:t>
      </w:r>
      <w:r>
        <w:rPr>
          <w:strike/>
        </w:rPr>
        <w:t xml:space="preserve">inspection and investigation reports and any enforcement actions by the department for the previous three years</w:t>
      </w:r>
      <w:r>
        <w:t>))</w:t>
      </w:r>
      <w:r>
        <w:rPr/>
        <w:t xml:space="preserve"> </w:t>
      </w:r>
      <w:r>
        <w:rPr>
          <w:u w:val="single"/>
        </w:rPr>
        <w:t xml:space="preserve">the following documents and information for the previous three years: (i) Deficiency-free inspection letters; (ii) statements of deficiency related to inspection visits; (iii) statements of deficiency related to complaint investigations requiring an attestation of correction; (iv) notices of return to compliance related to (ii) and (iii) of this subsection; and (v) enforcement action notices issued by the department</w:t>
      </w:r>
      <w:r>
        <w:rPr/>
        <w:t xml:space="preserve">. If a violation or enforcement remedy is deleted, rescinded, or modified under RCW 70.128.167 or chapter 34.05 RCW, the department shall make the appropriate changes to the information on the website as soon as reasonably feasible, but no later than thirty days after the violation or enforcement remedy has been deleted, rescinded, or modified. To facilitate the comparison of adult family homes, the website should also include a link to each licensed adult family home's disclosure form required by subsection (2)(a) of this section. The department's website should also include periodically updated information about whether an adult family home has a current vacancy, if the home provides such information to the department, or may include links to other consumer-oriented websites with the vacancy information.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2f21d57ed96a4b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f714392d449d5" /><Relationship Type="http://schemas.openxmlformats.org/officeDocument/2006/relationships/footer" Target="/word/footer1.xml" Id="R2f21d57ed96a4b16" /></Relationships>
</file>