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50a404498421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2415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154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TEMPORARY ASSISTANCE FOR NEEDY FAMILIES—DIVERSION CASH ASSISTANCE—MAXIMUM AMOUNT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January 1, 2025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2415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2024 3:21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19,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Cortes, Ramel, and Pollet</w:t>
      </w:r>
    </w:p>
    <w:p/>
    <w:p>
      <w:r>
        <w:rPr>
          <w:t xml:space="preserve">Read first time 01/18/24.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economic assistance for individuals who are eligible for temporary assistance for needy families; amending RCW 74.08A.210;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210</w:t>
      </w:r>
      <w:r>
        <w:rPr/>
        <w:t xml:space="preserve"> and 2011 1st sp.s. c 36 s 30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prevent some families from developing dependency on temporary assistance for needy families, the department shall make available to qualifying applicants a diversion program designed to provide brief, emergency assistance for families in crisis whose income and assets would otherwise qualify them for temporary assistance for needy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Diversion assistance may include cash or vouchers in payment for the following needs: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Child care;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Housing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Transportation-related expenses;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Food;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Medical costs for the recipient's immediate family;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Employment-related expenses which are necessary to keep or obtain paid unsubsidized employment.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Diversion assistance is available once in each </w:t>
      </w:r>
      <w:r>
        <w:t>((</w:t>
      </w:r>
      <w:r>
        <w:rPr>
          <w:strike/>
        </w:rPr>
        <w:t xml:space="preserve">twelve-month</w:t>
      </w:r>
      <w:r>
        <w:t>))</w:t>
      </w:r>
      <w:r>
        <w:rPr/>
        <w:t xml:space="preserve"> </w:t>
      </w:r>
      <w:r>
        <w:rPr>
          <w:u w:val="single"/>
        </w:rPr>
        <w:t xml:space="preserve">12-month</w:t>
      </w:r>
      <w:r>
        <w:rPr/>
        <w:t xml:space="preserve"> period for each adult applicant. Recipients of diversion assistance are not included in the temporary assistance for needy families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Diversion assistance may not exceed </w:t>
      </w:r>
      <w:r>
        <w:t>((</w:t>
      </w:r>
      <w:r>
        <w:rPr>
          <w:strike/>
        </w:rPr>
        <w:t xml:space="preserve">one thousand five hundred dollars</w:t>
      </w:r>
      <w:r>
        <w:t>))</w:t>
      </w:r>
      <w:r>
        <w:rPr/>
        <w:t xml:space="preserve"> </w:t>
      </w:r>
      <w:r>
        <w:rPr>
          <w:u w:val="single"/>
        </w:rPr>
        <w:t xml:space="preserve">$2,000</w:t>
      </w:r>
      <w:r>
        <w:rPr/>
        <w:t xml:space="preserve"> for each instance.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To be eligible for diversion assistance, a family must otherwise be eligible for temporary assistance for needy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Families ineligible for temporary assistance for needy families </w:t>
      </w:r>
      <w:r>
        <w:t>((</w:t>
      </w:r>
      <w:r>
        <w:rPr>
          <w:strike/>
        </w:rPr>
        <w:t xml:space="preserve">or benefits under RCW 74.62.030</w:t>
      </w:r>
      <w:r>
        <w:t>))</w:t>
      </w:r>
      <w:r>
        <w:rPr/>
        <w:t xml:space="preserve"> due to sanction, noncompliance, the lump sum income rule, or any other reason are not eligible for diversion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Families must provide evidence showing that a bona fide need exists according to subsection (2) of this section in order to be eligible for diversion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adult applicant may receive diversion assistance of any type no more than once per </w:t>
      </w:r>
      <w:r>
        <w:t>((</w:t>
      </w:r>
      <w:r>
        <w:rPr>
          <w:strike/>
        </w:rPr>
        <w:t xml:space="preserve">twelve-month</w:t>
      </w:r>
      <w:r>
        <w:t>))</w:t>
      </w:r>
      <w:r>
        <w:rPr/>
        <w:t xml:space="preserve"> </w:t>
      </w:r>
      <w:r>
        <w:rPr>
          <w:u w:val="single"/>
        </w:rPr>
        <w:t xml:space="preserve">12-month</w:t>
      </w:r>
      <w:r>
        <w:rPr/>
        <w:t xml:space="preserve"> period. If the recipient of diversion assistance is placed on the temporary assistance for needy families program within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months of receiving diversion assistance, the prorated dollar value of the assistance shall be treated as a loan from the state, and recovered by deduction from the recipient's cash grant.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2025.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1,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19, 2024.</w:t>
      </w:r>
    </w:p>
    <w:sectPr>
      <w:pgNumType w:start="1"/>
      <w:footerReference xmlns:r="http://schemas.openxmlformats.org/officeDocument/2006/relationships" r:id="R1679abc6673d432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2415.SL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e55314e614daa" /><Relationship Type="http://schemas.openxmlformats.org/officeDocument/2006/relationships/footer" Target="/word/footer1.xml" Id="R1679abc6673d432c" /></Relationships>
</file>