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5adcf088248b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2428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95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SALES AND USE TAX REVENUE—CITY AGREEMENTS TO SHARE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2428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14, 2024 11:30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14,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2428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Local Government (originally sponsored by Representatives Klicker, Rude, and Springer)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cities to voluntarily share certain sales and use tax revenue; adding a new section to chapter 39.34 RCW; and adding a new section to chapter 82.14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39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Cities and towns may enter into an agreement under this chapter to share a portion of general purpose sales and use tax revenue collected under RCW 82.14.030.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agreement to share such revenue must specify, in addition to the conditions required to be included under RCW 39.34.030,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If the agreement applies only to sales and use tax revenue collected in a certain area or areas, then the area or areas in which it is applicable, and how the parties to the agreement will calculate the revenue collected in those areas;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amount or proportion of the sales and use tax revenue that is to be shared;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precise mechanism or method that will be used by the parties to the agreement to share the revenue.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shall not be construed to diminish or reduce the authority of local governments to enter into agreements under this chapter or as otherwise allowed by law.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Revenue from a sales and use tax imposed by a city under RCW 82.14.030 (1) and (2) may be shared with another city as part of an agreement entered into pursuant to section 1 of the act.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29,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14,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14, 2024.</w:t>
      </w:r>
    </w:p>
    <w:sectPr>
      <w:pgNumType w:start="1"/>
      <w:footerReference xmlns:r="http://schemas.openxmlformats.org/officeDocument/2006/relationships" r:id="R68ece9b28f1d4443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2428.SL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ddc6f6eef4fce" /><Relationship Type="http://schemas.openxmlformats.org/officeDocument/2006/relationships/footer" Target="/word/footer1.xml" Id="R68ece9b28f1d4443" /></Relationships>
</file>