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45ca39c8846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2494</w:t>
      </w:r>
    </w:p>
    <w:p>
      <w:pPr>
        <w:jc w:val="center"/>
        <w:spacing w:before="480" w:after="0" w:line="240"/>
      </w:pPr>
      <w:r>
        <w:t xml:space="preserve">Chapter </w:t>
      </w:r>
      <w:r>
        <w:rPr/>
        <w:t xml:space="preserve">262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 OPERATING COSTS—ADDITIONAL STATE FUNDING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Bergquist, Rude, Simmons, Senn, Pollet, Callan, Paul, Macri, Stonier, and Gregerson)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operating costs in schools; amending RCW 28A.150.260;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(8),</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2023-24</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$178.98</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$430.26</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$164.48</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$326.54</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$22.65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$28.94</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$206.22</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$146.37</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2023-24</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$44.05</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$48.06</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$94.07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$6.05</w:t>
      </w:r>
    </w:p>
    <w:p>
      <w:pPr>
        <w:spacing w:before="0" w:after="0" w:line="408" w:lineRule="exact"/>
        <w:ind w:left="0" w:right="0" w:firstLine="0"/>
        <w:jc w:val="left"/>
      </w:pPr>
      <w:r>
        <w:rPr/>
        <w:t xml:space="preserve">Instructional professional development for certificated and</w:t>
      </w:r>
    </w:p>
    <w:p>
      <w:pPr>
        <w:spacing w:before="0" w:after="12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$8.01</w:t>
      </w:r>
    </w:p>
    <w:p>
      <w:pPr>
        <w:spacing w:before="0" w:after="0" w:line="408" w:lineRule="exact"/>
        <w:ind w:left="0" w:right="0" w:firstLine="576"/>
        <w:jc w:val="left"/>
      </w:pPr>
      <w:r>
        <w:rPr>
          <w:u w:val="single"/>
        </w:rPr>
        <w:t xml:space="preserve">(c) The increased allocation amount of $21 per annual average full-time equivalent student for materials, supplies, and operating costs provided under (a) of this subsection is intended to address growing costs in the enumerated categories and may not be expended for any other purpose.</w:t>
      </w:r>
    </w:p>
    <w:p>
      <w:pPr>
        <w:spacing w:before="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materials, supplies, and operating costs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w:t>
      </w:r>
    </w:p>
    <w:p>
      <w:pPr>
        <w:spacing w:before="0" w:after="0" w:line="408" w:lineRule="exact"/>
        <w:ind w:left="0" w:right="0" w:firstLine="576"/>
        <w:jc w:val="left"/>
      </w:pPr>
      <w:r>
        <w:rPr/>
        <w:t xml:space="preserve">This section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7b3149016aff42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73e2e56054cbd" /><Relationship Type="http://schemas.openxmlformats.org/officeDocument/2006/relationships/footer" Target="/word/footer1.xml" Id="R7b3149016aff4205" /></Relationships>
</file>