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647a44d8a84e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5015</w:t>
      </w:r>
    </w:p>
    <w:p>
      <w:pPr>
        <w:jc w:val="center"/>
        <w:spacing w:before="480" w:after="0" w:line="240"/>
      </w:pPr>
      <w:r>
        <w:t xml:space="preserve">Chapter </w:t>
      </w:r>
      <w:r>
        <w:rPr/>
        <w:t xml:space="preserve">106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PRODUCTIVITY BOARD—REESTABLISHMENT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5015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9:54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5015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Fortunato, Gildon, Kuderer, and Valdez</w:t>
      </w:r>
    </w:p>
    <w:p/>
    <w:p>
      <w:r>
        <w:rPr>
          <w:t xml:space="preserve">Prefiled 12/06/22.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w:t>
      </w:r>
      <w:r>
        <w:t>((</w:t>
      </w:r>
      <w:r>
        <w:rPr>
          <w:strike/>
        </w:rPr>
        <w:t xml:space="preserve">There</w:t>
      </w:r>
      <w:r>
        <w:t>))</w:t>
      </w:r>
      <w:r>
        <w:rPr/>
        <w:t xml:space="preserve"> </w:t>
      </w:r>
      <w:r>
        <w:rPr>
          <w:u w:val="single"/>
        </w:rPr>
        <w:t xml:space="preserve">Subject to the availability of amounts appropriated for this specific purpose, there</w:t>
      </w:r>
      <w:r>
        <w:rPr/>
        <w:t xml:space="preserv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January 1, 2025, or as soon as practicable</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January 1, 2025, or as soon as practicable</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2022 c 297 s 950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and 2019-2021 fiscal biennia, and during fiscal year 2022,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b482a5f3f82744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a0bba7d444a9c" /><Relationship Type="http://schemas.openxmlformats.org/officeDocument/2006/relationships/footer" Target="/word/footer1.xml" Id="Rb482a5f3f8274467" /></Relationships>
</file>