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abce9af4745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5045</w:t>
      </w:r>
    </w:p>
    <w:p>
      <w:pPr>
        <w:jc w:val="center"/>
        <w:spacing w:before="480" w:after="0" w:line="240"/>
      </w:pPr>
      <w:r>
        <w:t xml:space="preserve">Chapter </w:t>
      </w:r>
      <w:r>
        <w:rPr/>
        <w:t xml:space="preserve">335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TAXES—ACCESSORY DWELLING UNITS—LOW-INCOME HOUSEHOLDS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40</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59</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Kuderer, Dhingra, Holy, Hunt, Liias, Nguyen, Nobles, Randall, Rolfes, Shewmake,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for a county with a population of 1,500,000 or more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w:t>
      </w:r>
    </w:p>
    <w:p>
      <w:pPr>
        <w:spacing w:before="0" w:after="0" w:line="408" w:lineRule="exact"/>
        <w:ind w:left="0" w:right="0" w:firstLine="576"/>
        <w:jc w:val="left"/>
      </w:pPr>
      <w:r>
        <w:rPr>
          <w:u w:val="single"/>
        </w:rPr>
        <w:t xml:space="preserve">(iv) Rent charged to a tenant does not exceed more than 30 percent of the tenant's monthly income</w:t>
      </w:r>
      <w:r>
        <w:rPr>
          <w:u w:val="single"/>
        </w:rPr>
        <w:t xml:space="preserve">; and</w:t>
      </w:r>
    </w:p>
    <w:p>
      <w:pPr>
        <w:spacing w:before="0" w:after="0" w:line="408" w:lineRule="exact"/>
        <w:ind w:left="0" w:right="0" w:firstLine="576"/>
        <w:jc w:val="left"/>
      </w:pPr>
      <w:r>
        <w:rPr>
          <w:u w:val="single"/>
        </w:rPr>
        <w:t xml:space="preserve">(v) The accessory dwelling unit is not occupied by an immediate family member of the taxpayer. For purposes of this subsection (2)(a), "immediate family" means any person under age sixty that is a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0" w:after="0" w:line="408" w:lineRule="exact"/>
        <w:ind w:left="0" w:right="0" w:firstLine="576"/>
        <w:jc w:val="left"/>
      </w:pPr>
      <w:r>
        <w:rPr>
          <w:u w:val="single"/>
        </w:rPr>
        <w:t xml:space="preserve">(d) A county legislative authority that has opted to exempt accessory dwelling units under this subsection (2) shall establish policies to assist and support tenants upon expiration of an exemption granted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 under section 1, chapter . . ., Laws of 2023 (section 1 of this act) as it applies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with a population greater than 1,500,000 offers this exemption and the exemption increases the amount of accessory dwelling units rented to low-income households,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a4586bb548446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9086c4867041e9" /><Relationship Type="http://schemas.openxmlformats.org/officeDocument/2006/relationships/footer" Target="/word/footer1.xml" Id="Rca4586bb54844693" /></Relationships>
</file>