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b55cd3764447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5082</w:t>
      </w:r>
    </w:p>
    <w:p>
      <w:pPr>
        <w:jc w:val="center"/>
        <w:spacing w:before="480" w:after="0" w:line="240"/>
      </w:pPr>
      <w:r>
        <w:t xml:space="preserve">Chapter </w:t>
      </w:r>
      <w:r>
        <w:rPr/>
        <w:t xml:space="preserve">109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ADVISORY VOTES—REPEAL</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30</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54</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5082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9:59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5082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Kuderer, Hunt, Conway, Dhingra, Frame, Hasegawa, Nguyen, Nobles, Pedersen, Rolfes, Valdez, Van De Wege, Wellman, and C. Wilson)</w:t>
      </w:r>
    </w:p>
    <w:p/>
    <w:p>
      <w:r>
        <w:rPr>
          <w:t xml:space="preserve">READ FIRST TIME 01/16/23.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electoral participation and making ballots more meaningful by abolishing advisory votes; amending RCW 29A.32.070, 29A.64.090, 29A.72.040, 29A.72.250, 29A.72.290, and 29A.32.031; adding a new section to chapter 44.48 RCW; creating a new section; and repealing RCW 29A.72.283, 29A.72.285, and 43.135.041.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making the act of casting a ballot as simple as possible will help promote the free and equal elections guaranteed by Article I, section 19 and Article VI, section 1 of the Washington state Constitution. The legislature recognizes that transparency and fiscal responsibility are important to the people of Washington, and that election administration and ballot design should reflect these long-held values. The legislature further finds that the people rightfully expect items on their ballots to be neutrally and accurately worded. Finally, the legislature finds for the votes that Washingtonians cast to have meaning, the ballot must be limited to candidate elections that give the people the power to choose their representatives or ballot measures that determine what laws and plan of government the state and its localities shall have.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ADVISORY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2022 c 114 s 4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ballot titles, and public investment impact disclosures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ballot titles, and public investment impact disclosures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 xml:space="preserve">(2) </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 xml:space="preserve">(3) </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2016 c 1 s 5, 2013 c 1 s 6, 2010 c 4 s 3, &amp; 2008 c 1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INFORMATION REGARDING STATE TAX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A page providing information about how to access the internet presentation of the information created in section 9 of this act about the state budgets, including a uniform resource locator, a quick response code, and a phone number for the legislative information center. The uniform resource locator and quick response codes will lead the voter to the internet information required in section 9 of this act; and</w:t>
      </w:r>
    </w:p>
    <w:p>
      <w:pPr>
        <w:spacing w:before="0" w:after="0" w:line="408" w:lineRule="exact"/>
        <w:ind w:left="0" w:right="0" w:firstLine="576"/>
        <w:jc w:val="left"/>
      </w:pPr>
      <w:r>
        <w:rPr>
          <w:u w:val="single"/>
        </w:rPr>
        <w:t xml:space="preserve">(9)</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legislative evaluation and accountability program, in conjunction with the office of financial management, must create a website presentation accessible 24 hours a day beginning August 15th of each year containing the following information:</w:t>
      </w:r>
    </w:p>
    <w:p>
      <w:pPr>
        <w:spacing w:before="0" w:after="0" w:line="408" w:lineRule="exact"/>
        <w:ind w:left="0" w:right="0" w:firstLine="576"/>
        <w:jc w:val="left"/>
      </w:pPr>
      <w:r>
        <w:rPr/>
        <w:t xml:space="preserve">(1)(a) A summary of each of the following:</w:t>
      </w:r>
    </w:p>
    <w:p>
      <w:pPr>
        <w:spacing w:before="0" w:after="0" w:line="408" w:lineRule="exact"/>
        <w:ind w:left="0" w:right="0" w:firstLine="576"/>
        <w:jc w:val="left"/>
      </w:pPr>
      <w:r>
        <w:rPr/>
        <w:t xml:space="preserve">(i) The adopted operating budget and supplemental operating budget for the most recent fiscal biennium;</w:t>
      </w:r>
    </w:p>
    <w:p>
      <w:pPr>
        <w:spacing w:before="0" w:after="0" w:line="408" w:lineRule="exact"/>
        <w:ind w:left="0" w:right="0" w:firstLine="576"/>
        <w:jc w:val="left"/>
      </w:pPr>
      <w:r>
        <w:rPr/>
        <w:t xml:space="preserve">(ii) The adopted capital budget and supplemental capital budget for the most recent fiscal biennium; and</w:t>
      </w:r>
    </w:p>
    <w:p>
      <w:pPr>
        <w:spacing w:before="0" w:after="0" w:line="408" w:lineRule="exact"/>
        <w:ind w:left="0" w:right="0" w:firstLine="576"/>
        <w:jc w:val="left"/>
      </w:pPr>
      <w:r>
        <w:rPr/>
        <w:t xml:space="preserve">(iii) The adopted transportation budget and supplemental transportation budget for the most recent fiscal biennium;</w:t>
      </w:r>
    </w:p>
    <w:p>
      <w:pPr>
        <w:spacing w:before="0" w:after="0" w:line="408" w:lineRule="exact"/>
        <w:ind w:left="0" w:right="0" w:firstLine="576"/>
        <w:jc w:val="left"/>
      </w:pPr>
      <w:r>
        <w:rPr/>
        <w:t xml:space="preserve">(b) Every summary required by (a) of this subsection must additionally include:</w:t>
      </w:r>
    </w:p>
    <w:p>
      <w:pPr>
        <w:spacing w:before="0" w:after="0" w:line="408" w:lineRule="exact"/>
        <w:ind w:left="0" w:right="0" w:firstLine="576"/>
        <w:jc w:val="left"/>
      </w:pPr>
      <w:r>
        <w:rPr/>
        <w:t xml:space="preserve">(i) The numbers of each bill that was part of the budget for that session;</w:t>
      </w:r>
    </w:p>
    <w:p>
      <w:pPr>
        <w:spacing w:before="0" w:after="0" w:line="408" w:lineRule="exact"/>
        <w:ind w:left="0" w:right="0" w:firstLine="576"/>
        <w:jc w:val="left"/>
      </w:pPr>
      <w:r>
        <w:rPr/>
        <w:t xml:space="preserve">(ii) Access information for each bill on the official legislative website;</w:t>
      </w:r>
    </w:p>
    <w:p>
      <w:pPr>
        <w:spacing w:before="0" w:after="0" w:line="408" w:lineRule="exact"/>
        <w:ind w:left="0" w:right="0" w:firstLine="576"/>
        <w:jc w:val="left"/>
      </w:pPr>
      <w:r>
        <w:rPr/>
        <w:t xml:space="preserve">(iii) The date that each bill was approved with brief instructions on how to locate roll call votes online; and</w:t>
      </w:r>
    </w:p>
    <w:p>
      <w:pPr>
        <w:spacing w:before="0" w:after="0" w:line="408" w:lineRule="exact"/>
        <w:ind w:left="0" w:right="0" w:firstLine="576"/>
        <w:jc w:val="left"/>
      </w:pPr>
      <w:r>
        <w:rPr/>
        <w:t xml:space="preserve">(iv) The number of votes cast for and against each bill;</w:t>
      </w:r>
    </w:p>
    <w:p>
      <w:pPr>
        <w:spacing w:before="0" w:after="0" w:line="408" w:lineRule="exact"/>
        <w:ind w:left="0" w:right="0" w:firstLine="576"/>
        <w:jc w:val="left"/>
      </w:pPr>
      <w:r>
        <w:rPr/>
        <w:t xml:space="preserve">(2) Graphical depictions of funds subject to outlook and a data visualization showing total budgeted funds for the state operating budget by functional areas of government for the most recent biennium;</w:t>
      </w:r>
    </w:p>
    <w:p>
      <w:pPr>
        <w:spacing w:before="0" w:after="0" w:line="408" w:lineRule="exact"/>
        <w:ind w:left="0" w:right="0" w:firstLine="576"/>
        <w:jc w:val="left"/>
      </w:pPr>
      <w:r>
        <w:rPr/>
        <w:t xml:space="preserve">(3) Tables provided by the office of financial management comparing state and local expenditures with personal income from the most recent fiscal year available to each fiscal year going back 20 years; and</w:t>
      </w:r>
    </w:p>
    <w:p>
      <w:pPr>
        <w:spacing w:before="0" w:after="0" w:line="408" w:lineRule="exact"/>
        <w:ind w:left="0" w:right="0" w:firstLine="576"/>
        <w:jc w:val="left"/>
      </w:pPr>
      <w:r>
        <w:rPr/>
        <w:t xml:space="preserve">(4) A list, generated by the legislative evaluation and accountability program in coordination with the office of financial management, of every bill for which an analysis was produced in compliance with RCW 43.135.031, and links to the legislative website for each bill on the list so the public may see how legislators voted and instructions for voters on how to locate analyses produced in compliance with RCW 43.135.031.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b4c62723083d43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cc4d7cd7694c69" /><Relationship Type="http://schemas.openxmlformats.org/officeDocument/2006/relationships/footer" Target="/word/footer1.xml" Id="Rb4c62723083d4351" /></Relationships>
</file>