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a4be95a2849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5124</w:t>
      </w:r>
    </w:p>
    <w:p>
      <w:pPr>
        <w:jc w:val="center"/>
        <w:spacing w:before="480" w:after="0" w:line="240"/>
      </w:pPr>
      <w:r>
        <w:t xml:space="preserve">Chapter </w:t>
      </w:r>
      <w:r>
        <w:rPr/>
        <w:t xml:space="preserve">221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CHILD WELFARE—GUARDIANSHIP SUBSIDIES AND VOLUNTARY PLACEMENT AGREEMENTS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Trudeau, Randall, Dhingra, Frame, Kauffman, Kuderer, Nguyen, Wellman, and C. Wilson; by request of Department of Children, Youth, and Families)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w:t>
      </w:r>
      <w:r>
        <w:t>((</w:t>
      </w:r>
      <w:r>
        <w:rPr>
          <w:strike/>
        </w:rPr>
        <w:t xml:space="preserve">Relative guardianship</w:t>
      </w:r>
      <w:r>
        <w:t>))</w:t>
      </w:r>
      <w:r>
        <w:rPr/>
        <w:t xml:space="preserve"> </w:t>
      </w:r>
      <w:r>
        <w:rPr>
          <w:u w:val="single"/>
        </w:rPr>
        <w:t xml:space="preserve">Guardianship</w:t>
      </w:r>
      <w:r>
        <w:rPr/>
        <w:t xml:space="preserve">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w:t>
      </w:r>
      <w:r>
        <w:t>((</w:t>
      </w:r>
      <w:r>
        <w:rPr>
          <w:strike/>
        </w:rPr>
        <w:t xml:space="preserve">, or relative guardianship subsidies</w:t>
      </w:r>
      <w:r>
        <w:t>))</w:t>
      </w:r>
      <w:r>
        <w:rPr/>
        <w:t xml:space="preserve"> on behalf of youth ages </w:t>
      </w:r>
      <w:r>
        <w:t>((</w:t>
      </w:r>
      <w:r>
        <w:rPr>
          <w:strike/>
        </w:rPr>
        <w:t xml:space="preserve">eighteen to twenty-one</w:t>
      </w:r>
      <w:r>
        <w:t>))</w:t>
      </w:r>
      <w:r>
        <w:rPr/>
        <w:t xml:space="preserve"> </w:t>
      </w:r>
      <w:r>
        <w:rPr>
          <w:u w:val="single"/>
        </w:rPr>
        <w:t xml:space="preserve">18 to 21</w:t>
      </w:r>
      <w:r>
        <w:rPr/>
        <w:t xml:space="preserve"> years who achieved permanency through adoption </w:t>
      </w:r>
      <w:r>
        <w:t>((</w:t>
      </w:r>
      <w:r>
        <w:rPr>
          <w:strike/>
        </w:rPr>
        <w:t xml:space="preserve">or a relative guardianship</w:t>
      </w:r>
      <w:r>
        <w:t>))</w:t>
      </w:r>
      <w:r>
        <w:rPr/>
        <w:t xml:space="preserve"> at age </w:t>
      </w:r>
      <w:r>
        <w:t>((</w:t>
      </w:r>
      <w:r>
        <w:rPr>
          <w:strike/>
        </w:rPr>
        <w:t xml:space="preserve">sixteen</w:t>
      </w:r>
      <w:r>
        <w:t>))</w:t>
      </w:r>
      <w:r>
        <w:rPr/>
        <w:t xml:space="preserve"> </w:t>
      </w:r>
      <w:r>
        <w:rPr>
          <w:u w:val="single"/>
        </w:rPr>
        <w:t xml:space="preserve">16</w:t>
      </w:r>
      <w:r>
        <w:rPr/>
        <w:t xml:space="preserve"> or older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u w:val="single"/>
        </w:rPr>
        <w:t xml:space="preserve">(15)</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(18)</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983ddb0c0ee342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eb834b2ab4216" /><Relationship Type="http://schemas.openxmlformats.org/officeDocument/2006/relationships/footer" Target="/word/footer1.xml" Id="R983ddb0c0ee3423b" /></Relationships>
</file>