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6f06e2078b4f0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5142</w:t>
      </w:r>
    </w:p>
    <w:p>
      <w:pPr>
        <w:jc w:val="center"/>
        <w:spacing w:before="480" w:after="0" w:line="240"/>
      </w:pPr>
      <w:r>
        <w:t xml:space="preserve">Chapter </w:t>
      </w:r>
      <w:r>
        <w:rPr/>
        <w:t xml:space="preserve">12</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HIV MEDICATION REBATE REVENUE ACCOUNT</w:t>
      </w:r>
    </w:p>
    <w:p>
      <w:pPr>
        <w:spacing w:before="720" w:after="240" w:line="240" w:lineRule="exact"/>
        <w:ind w:left="0" w:right="0" w:firstLine="0"/>
        <w:jc w:val="center"/>
      </w:pPr>
      <w:r>
        <w:t xml:space="preserve">EFFECTIVE DATE: </w:t>
      </w:r>
      <w:r>
        <w:rPr/>
        <w:t xml:space="preserve">July 1,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22, 2023</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22, 2023</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5142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30, 2023 11:52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30,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5142</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Ways &amp; Means (originally sponsored by Senators Liias, Rivers, Dhingra, Kauffman, Nobles, Trudeau, Valdez, C. Wilson, and J. Wilson; by request of Department of Health)</w:t>
      </w:r>
    </w:p>
    <w:p/>
    <w:p>
      <w:r>
        <w:rPr>
          <w:t xml:space="preserve">READ FIRST TIME 02/09/23.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an account for the pharmaceutical rebate revenue generated by the purchase of medications for people living with HIV who are enrolled in the early intervention program; reenacting and amending RCW 43.79A.040; adding a new section to chapter 43.70 RCW;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The medication for people living with HIV rebate revenue account is created in the custody of the state treasury. The early intervention program shall deposit any receipts from pharmaceutical rebates generated by the purchase of medications with federal grant funds and revenue generated from federal grant funds for any person enrolled in the early intervention program into the account. The expenditures may only be used for services defined in the grant award from the Ryan White HIV/AIDS program. Only the secretary or the secretary's designee may authorize expenditures from the account. An appropriation is not required for expenditures. The account is subject to allotment procedures under chapter 43.88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2022 c 244 s 3, 2022 c 206 s 8, 2022 c 183 s 16, and 2022 c 162 s 6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Rosa Franklin legislative internship program scholarship account, the Washington advanced college tuition payment program account, the Washington college savings program account, the accessible communities account, the Washington achieving a better life experience program account, the Washington career and college pathways innovation challenge program account, the community and technical college innovation account, the agricultural local fund, the American Indian scholarship endowment fund, the behavioral health loan repayment program account, the foster care scholarship endowment fund, the foster care endowed scholarship trust fund, the contract harvesting revolving account, the Washington state combined fund drive account, the commemorative works account, the county enhanced 911 excise tax account, the county road administration board emergency loan account, the toll collection account, the developmental disabilities endowment trust fund, the energy account, the energy facility site evaluation council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w:t>
      </w:r>
      <w:r>
        <w:rPr>
          <w:u w:val="single"/>
        </w:rPr>
        <w:t xml:space="preserve">the medication for people living with HIV rebate revenue account,</w:t>
      </w:r>
      <w:r>
        <w:rPr/>
        <w:t xml:space="preserve"> the multiagency permitting team account, the northeast Washington wolf-livestock management account, the produce railcar pool account, the public use general aviation airport loan revolving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the radiation perpetual maintenance fund, the Indian health improvement reinvestment account, the department of licensing tuition recovery trust fund, the student achievement council tuition recovery trust fund, the tuition recovery trust fund, the Washington student loan account, the industrial insurance premium refund account, the mobile home park relocation fund, the natural resources deposit fund, the Washington state health insurance pool account, the federal forest revolving account, and the library operations account.</w:t>
      </w:r>
    </w:p>
    <w:p>
      <w:pPr>
        <w:spacing w:before="0" w:after="0" w:line="408" w:lineRule="exact"/>
        <w:ind w:left="0" w:right="0" w:firstLine="576"/>
        <w:jc w:val="left"/>
      </w:pPr>
      <w:r>
        <w:rPr/>
        <w:t xml:space="preserve">(c) The following accounts and funds must receive 80 percent of their proportionate share of earnings based upon each account's or fund's average daily balance for the period: The advance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2023.</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22, 2023.</w:t>
      </w:r>
    </w:p>
    <w:p>
      <w:pPr>
        <w:spacing w:before="0" w:after="0" w:line="408" w:lineRule="exact"/>
        <w:ind w:left="0" w:right="0" w:firstLine="576"/>
        <w:jc w:val="left"/>
      </w:pPr>
      <w:r>
        <w:rPr/>
        <w:t xml:space="preserve">Passed by the House March 22, 2023.</w:t>
      </w:r>
    </w:p>
    <w:p>
      <w:pPr>
        <w:spacing w:before="0" w:after="0" w:line="408" w:lineRule="exact"/>
        <w:ind w:left="0" w:right="0" w:firstLine="576"/>
        <w:jc w:val="left"/>
      </w:pPr>
      <w:r>
        <w:rPr/>
        <w:t xml:space="preserve">Approved by the Governor March 30, 2023.</w:t>
      </w:r>
    </w:p>
    <w:p>
      <w:pPr>
        <w:spacing w:before="0" w:after="0" w:line="408" w:lineRule="exact"/>
        <w:ind w:left="0" w:right="0" w:firstLine="576"/>
        <w:jc w:val="left"/>
      </w:pPr>
      <w:r>
        <w:rPr/>
        <w:t xml:space="preserve">Filed in Office of Secretary of State March 30, 2023.</w:t>
      </w:r>
    </w:p>
    <w:sectPr>
      <w:pgNumType w:start="1"/>
      <w:footerReference xmlns:r="http://schemas.openxmlformats.org/officeDocument/2006/relationships" r:id="Rb0b7efe67d4040b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5142.SL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0ed208f753471f" /><Relationship Type="http://schemas.openxmlformats.org/officeDocument/2006/relationships/footer" Target="/word/footer1.xml" Id="Rb0b7efe67d4040b4" /></Relationships>
</file>