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e23d5999044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5191</w:t>
      </w:r>
    </w:p>
    <w:p>
      <w:pPr>
        <w:jc w:val="center"/>
        <w:spacing w:before="480" w:after="0" w:line="240"/>
      </w:pPr>
      <w:r>
        <w:t xml:space="preserve">Chapter </w:t>
      </w:r>
      <w:r>
        <w:rPr/>
        <w:t xml:space="preserve">318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REAL ESTATE BROKERS—VARIOUS PROVISIONS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Dozier, and Gildon)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real estate agency law to require written brokerage services agreements, improve consumer disclosures, and provide that certain legal duties of brokers apply to all parties in the transaction; amending RCW 18.86.010, 18.86.020, 18.86.030, 18.86.040, 18.86.050, 18.86.060, 18.86.070, 18.86.080, 18.86.090, 18.86.100, and 18.86.120;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 and if the principal is a buyer, a default term of 60 days with the option of a longer term;</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 and if the principal is a buyer, checkbox options for the buyer to select either an exclusive or nonexclusive relationship;</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w:t>
      </w:r>
      <w:r>
        <w:rPr>
          <w:u w:val="single"/>
        </w:rPr>
        <w:t xml:space="preserve">and obtain an acknowledgment of receipt by the party. The pamphlet shall be provided</w:t>
      </w:r>
      <w:r>
        <w:rPr/>
        <w:t xml:space="preserve">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(which does not allow the principal to enter into an agency relationship with another firm during the term) or nonexclusive (which allows the principal to enter into an agency relationship with multiple firms at the same time);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077516f4afc849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54df7632f4512" /><Relationship Type="http://schemas.openxmlformats.org/officeDocument/2006/relationships/footer" Target="/word/footer1.xml" Id="R077516f4afc8497c" /></Relationships>
</file>