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594db0d98d43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5331</w:t>
      </w:r>
    </w:p>
    <w:p>
      <w:pPr>
        <w:jc w:val="center"/>
        <w:spacing w:before="480" w:after="0" w:line="240"/>
      </w:pPr>
      <w:r>
        <w:t xml:space="preserve">Chapter </w:t>
      </w:r>
      <w:r>
        <w:rPr/>
        <w:t xml:space="preserve">117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UNEMPLOYMENT INSURANCE—JOB SEARCH REQUIREMENTS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81</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Conway, Saldaña, Keiser, Lovelett, and C. Wilson; by request of Employment Security Department</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requirements for unemployment insurance benefits; amending RCW 50.20.240;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2021 c 82 s 1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job search monitoring. The employment security department shall contract with employment security agencies in other states to ensure that individuals residing in those states and receiving benefits under this title are actively engaged in searching for work in accordance with the requirements of this section. The employment security department must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w:t>
      </w:r>
      <w:r>
        <w:t>((</w:t>
      </w:r>
      <w:r>
        <w:rPr>
          <w:strike/>
        </w:rPr>
        <w:t xml:space="preserve">(1)(b)(iv) or (2)(b)(iv)</w:t>
      </w:r>
      <w:r>
        <w:t>))</w:t>
      </w:r>
      <w:r>
        <w:rPr/>
        <w:t xml:space="preserve">,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w:t>
      </w:r>
    </w:p>
    <w:p>
      <w:pPr>
        <w:spacing w:before="0" w:after="0" w:line="408" w:lineRule="exact"/>
        <w:ind w:left="0" w:right="0" w:firstLine="576"/>
        <w:jc w:val="left"/>
      </w:pPr>
      <w:r>
        <w:t>((</w:t>
      </w:r>
      <w:r>
        <w:rPr>
          <w:strike/>
        </w:rPr>
        <w:t xml:space="preserve">(i) Until December 31, 2023, the evidence must demonstrate contacts with at least three employers per week or documented in-person job search activities at the local reemployment center at least three times per week, or as otherwise directed by the employment security department to meet the intent of rigorous reemployment efforts.</w:t>
      </w:r>
    </w:p>
    <w:p>
      <w:pPr>
        <w:spacing w:before="0" w:after="0" w:line="408" w:lineRule="exact"/>
        <w:ind w:left="0" w:right="0" w:firstLine="576"/>
        <w:jc w:val="left"/>
      </w:pPr>
      <w:r>
        <w:rPr>
          <w:strike/>
        </w:rPr>
        <w:t xml:space="preserve">(ii) On or after January 1, 2024, the</w:t>
      </w:r>
      <w:r>
        <w:t>))</w:t>
      </w:r>
      <w:r>
        <w:rPr/>
        <w:t xml:space="preserve"> </w:t>
      </w:r>
      <w:r>
        <w:rPr>
          <w:u w:val="single"/>
        </w:rPr>
        <w:t xml:space="preserve">The</w:t>
      </w:r>
      <w:r>
        <w:rPr/>
        <w:t xml:space="preserve"> evidence must demonstrate contacts with at least three employers per week</w:t>
      </w:r>
      <w:r>
        <w:rPr>
          <w:u w:val="single"/>
        </w:rPr>
        <w:t xml:space="preserve">,</w:t>
      </w:r>
      <w:r>
        <w:rPr/>
        <w:t xml:space="preserve"> or documented job search activities with the local reemployment center at least three times per week</w:t>
      </w:r>
      <w:r>
        <w:rPr>
          <w:u w:val="single"/>
        </w:rPr>
        <w:t xml:space="preserve">, or as otherwise directed by the employment security department to meet the objective of reemployment in suitable work as described in  RCW 50.20.100</w:t>
      </w:r>
      <w:r>
        <w:rPr/>
        <w:t xml:space="preserve">.</w:t>
      </w:r>
    </w:p>
    <w:p>
      <w:pPr>
        <w:spacing w:before="0" w:after="0" w:line="408" w:lineRule="exact"/>
        <w:ind w:left="0" w:right="0" w:firstLine="576"/>
        <w:jc w:val="left"/>
      </w:pPr>
      <w:r>
        <w:rPr/>
        <w:t xml:space="preserve">(c) In developing the requirements for job search </w:t>
      </w:r>
      <w:r>
        <w:t>((</w:t>
      </w:r>
      <w:r>
        <w:rPr>
          <w:strike/>
        </w:rPr>
        <w:t xml:space="preserve">monitoring</w:t>
      </w:r>
      <w:r>
        <w:t>))</w:t>
      </w:r>
      <w:r>
        <w:rPr/>
        <w:t xml:space="preserve">, the commissioner or the commissioner's agents shall </w:t>
      </w:r>
      <w:r>
        <w:t>((</w:t>
      </w:r>
      <w:r>
        <w:rPr>
          <w:strike/>
        </w:rPr>
        <w:t xml:space="preserve">utilize</w:t>
      </w:r>
      <w:r>
        <w:t>))</w:t>
      </w:r>
      <w:r>
        <w:rPr/>
        <w:t xml:space="preserve"> </w:t>
      </w:r>
      <w:r>
        <w:rPr>
          <w:u w:val="single"/>
        </w:rPr>
        <w:t xml:space="preserve">consult with</w:t>
      </w:r>
      <w:r>
        <w:rPr/>
        <w:t xml:space="preserv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every two years thereafter, and in compliance with RCW 43.01.036, the employment security department in consultation with the advisory committee referenced in RCW 50.20.240(1)(c) must submit a report to the appropriate committees of the legislature that details the impacts of any flexibilities utilized in claimant job search methods, monitoring, and outcomes. The report must include a section for advisory committee members to respond directly to the contents of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4880f2d79fee4c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639fce30e4fd4" /><Relationship Type="http://schemas.openxmlformats.org/officeDocument/2006/relationships/footer" Target="/word/footer1.xml" Id="R4880f2d79fee4c3c" /></Relationships>
</file>