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7d6d2869848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5352</w:t>
      </w:r>
    </w:p>
    <w:p>
      <w:pPr>
        <w:jc w:val="center"/>
        <w:spacing w:before="480" w:after="0" w:line="240"/>
      </w:pPr>
      <w:r>
        <w:t xml:space="preserve">Chapter </w:t>
      </w:r>
      <w:r>
        <w:rPr/>
        <w:t xml:space="preserve">235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VEHICULAR PURSUITS—VARIOUS PROVISIONS</w:t>
      </w:r>
    </w:p>
    <w:p>
      <w:pPr>
        <w:spacing w:before="720" w:after="240" w:line="240" w:lineRule="exact"/>
        <w:ind w:left="0" w:right="0" w:firstLine="0"/>
        <w:jc w:val="center"/>
      </w:pPr>
      <w:r>
        <w:t xml:space="preserve">EFFECTIVE DATE: </w:t>
      </w:r>
      <w:r>
        <w:rPr/>
        <w:t xml:space="preserve">May 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26</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Lovick, MacEwen, Cleveland, Conway, Gildon, Holy, Hunt, Mullet, Rolfes, Salomon, Short, Torres, Van De Wege, Warnick, and L. Wilson</w:t>
      </w:r>
    </w:p>
    <w:p/>
    <w:p>
      <w:r>
        <w:rPr>
          <w:t xml:space="preserve">Read first time 01/13/23.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peace officers to engage in a vehicular pursuit only when there is reasonable suspicion to believe that a person in the vehicle has committed or is committing a violent offense as defined in RCW 9.94A.030, a sex offense under RCW 9.94A.030, a vehicular assault offense under RCW 46.61.522, an assault in the first, second, third, or fourth degree offense under chapter 9A.36 RCW only if the assault involves domestic violence as defined in RCW 10.99.020, an escape under chapter 9A.76 RCW, or a driving under the influence offense under RCW 46.61.502, and imposing training requirements on pursuing officers, and modifying safety and supervision requirements on vehicular pursuits;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w:t>
      </w:r>
      <w:r>
        <w:t>((</w:t>
      </w:r>
      <w:r>
        <w:rPr>
          <w:strike/>
        </w:rPr>
        <w:t xml:space="preserve">10</w:t>
      </w:r>
      <w:r>
        <w:t>))</w:t>
      </w:r>
      <w:r>
        <w:rPr/>
        <w:t xml:space="preserve"> </w:t>
      </w:r>
      <w:r>
        <w:rPr>
          <w:u w:val="single"/>
        </w:rPr>
        <w:t xml:space="preserve">15</w:t>
      </w:r>
      <w:r>
        <w:rPr/>
        <w:t xml:space="preserve">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 pursuing</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 pursuing</w:t>
      </w:r>
      <w:r>
        <w:rPr/>
        <w:t xml:space="preserve"> officer </w:t>
      </w:r>
      <w:r>
        <w:rPr>
          <w:u w:val="single"/>
        </w:rPr>
        <w:t xml:space="preserve">and the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 Emergency vehicle operator training must include training on performing the risk assessment analysis described in subsection (1)(c) of this section.</w:t>
      </w:r>
    </w:p>
    <w:p>
      <w:pPr>
        <w:spacing w:before="0" w:after="0" w:line="408" w:lineRule="exact"/>
        <w:ind w:left="0" w:right="0" w:firstLine="576"/>
        <w:jc w:val="left"/>
      </w:pPr>
      <w:r>
        <w:rPr>
          <w:u w:val="single"/>
        </w:rPr>
        <w:t xml:space="preserve">(3) A vehicle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3601be96d51b4d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96902987e4eb5" /><Relationship Type="http://schemas.openxmlformats.org/officeDocument/2006/relationships/footer" Target="/word/footer1.xml" Id="R3601be96d51b4d0f" /></Relationships>
</file>