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9382607bdd42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5374</w:t>
      </w:r>
    </w:p>
    <w:p>
      <w:pPr>
        <w:jc w:val="center"/>
        <w:spacing w:before="480" w:after="0" w:line="240"/>
      </w:pPr>
      <w:r>
        <w:t xml:space="preserve">Chapter </w:t>
      </w:r>
      <w:r>
        <w:rPr/>
        <w:t xml:space="preserve">225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GROWTH MANAGEMENT—COUNTY CRITICAL AREA REGULATIONS—ADOPTION BY CITIES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5374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Short, Lovelett, Shewmake, and Torres)</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adoption of county critical area ordinances by cities; amending RCW 36.70A.060;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growth management act has been in place for over 30 years. As time has passed, the legislature has found that the act needs to be adjusted to accommodate difficulties that have been encountered over time. The legislature finds that small cities should be able to adopt the critical areas ordinances of the counties pursuant to the advice of the work group engaged to make such positive changes to the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2017 3rd sp.s. c 18 s 3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Any county located to the west of the crest of the Cascade mountains that has both a population of at least four hundred thousand and a border that touches another state,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forestlands, or mineral resource lands, contain a notice that the subject property is within or near designated agricultural lands, forestlands,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w:t>
      </w:r>
      <w:r>
        <w:t>((</w:t>
      </w:r>
      <w:r>
        <w:rPr>
          <w:strike/>
        </w:rPr>
        <w:t xml:space="preserve">sixty</w:t>
      </w:r>
      <w:r>
        <w:t>))</w:t>
      </w:r>
      <w:r>
        <w:rPr/>
        <w:t xml:space="preserve"> </w:t>
      </w:r>
      <w:r>
        <w:rPr>
          <w:u w:val="single"/>
        </w:rPr>
        <w:t xml:space="preserve">60</w:t>
      </w:r>
      <w:r>
        <w:rPr/>
        <w:t xml:space="preserve">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(1)(d)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(e) Any county that borders both the Cascade mountains and another country and has a population of less than fifty thousand people,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w:t>
      </w:r>
      <w:r>
        <w:t>((</w:t>
      </w:r>
      <w:r>
        <w:rPr>
          <w:strike/>
        </w:rPr>
        <w:t xml:space="preserve">insure</w:t>
      </w:r>
      <w:r>
        <w:t>))</w:t>
      </w:r>
      <w:r>
        <w:rPr/>
        <w:t xml:space="preserve"> </w:t>
      </w:r>
      <w:r>
        <w:rPr>
          <w:u w:val="single"/>
        </w:rPr>
        <w:t xml:space="preserve">ensure</w:t>
      </w:r>
      <w:r>
        <w:rPr/>
        <w:t xml:space="preserve"> consistency.</w:t>
      </w:r>
    </w:p>
    <w:p>
      <w:pPr>
        <w:spacing w:before="0" w:after="0" w:line="408" w:lineRule="exact"/>
        <w:ind w:left="0" w:right="0" w:firstLine="576"/>
        <w:jc w:val="left"/>
      </w:pPr>
      <w:r>
        <w:rPr/>
        <w:t xml:space="preserve">(4)</w:t>
      </w:r>
      <w:r>
        <w:rPr>
          <w:u w:val="single"/>
        </w:rPr>
        <w:t xml:space="preserve">(a) A city with a population fewer than 25,000 may adopt the county's critical areas regulations by reference to satisfy the requirements under this section to designate and protect critical areas; provided, that the county's critical areas regulations are not subject to any outstanding administrative or judicial appeals at the time of the city's adoption. Nothing in this subsection prohibits a city from adopting its own critical areas regulations.</w:t>
      </w:r>
    </w:p>
    <w:p>
      <w:pPr>
        <w:spacing w:before="0" w:after="0" w:line="408" w:lineRule="exact"/>
        <w:ind w:left="0" w:right="0" w:firstLine="576"/>
        <w:jc w:val="left"/>
      </w:pPr>
      <w:r>
        <w:rPr>
          <w:u w:val="single"/>
        </w:rPr>
        <w:t xml:space="preserve">(b) The city legislative action adopting the county regulations by reference must incorporate future amendments to the critical areas policies and development regulations of the county.</w:t>
      </w:r>
    </w:p>
    <w:p>
      <w:pPr>
        <w:spacing w:before="0" w:after="0" w:line="408" w:lineRule="exact"/>
        <w:ind w:left="0" w:right="0" w:firstLine="576"/>
        <w:jc w:val="left"/>
      </w:pPr>
      <w:r>
        <w:rPr>
          <w:u w:val="single"/>
        </w:rPr>
        <w:t xml:space="preserve">(c) A city that adopts the county's critical areas regulations by reference is not required to take legislative action to review and update development regulations protecting critical areas under RCW 36.70A.130.</w:t>
      </w:r>
    </w:p>
    <w:p>
      <w:pPr>
        <w:spacing w:before="0" w:after="0" w:line="408" w:lineRule="exact"/>
        <w:ind w:left="0" w:right="0" w:firstLine="576"/>
        <w:jc w:val="left"/>
      </w:pPr>
      <w:r>
        <w:rPr>
          <w:u w:val="single"/>
        </w:rPr>
        <w:t xml:space="preserve">(d) If grant funding is available for a local jurisdiction's periodic comprehensive planning updates as required in RCW 36.70A.070, and a city has adopted by reference the county's critical areas regulations as allowed in (a) through (c) of this subsection, the county in which the city is located shall be entitled to the portion of the city's grant funding that would otherwise have been utilized for updating the city's critical areas regulations. The department is authorized to determine what portion of the available grant funding the city would have received for the critical areas regulations update the county is entitled to receive.</w:t>
      </w:r>
    </w:p>
    <w:p>
      <w:pPr>
        <w:spacing w:before="0" w:after="0" w:line="408" w:lineRule="exact"/>
        <w:ind w:left="0" w:right="0" w:firstLine="576"/>
        <w:jc w:val="left"/>
      </w:pPr>
      <w:r>
        <w:rPr>
          <w:u w:val="single"/>
        </w:rPr>
        <w:t xml:space="preserve">(5)</w:t>
      </w:r>
      <w:r>
        <w:rPr/>
        <w:t xml:space="preserve"> Forestland and agricultural land located within urban growth areas shall not be designated by a county or city as forestland or agricultural land of long-term commercial significance under RCW 36.70A.170 unless the city or county has enacted a program authorizing transfer or purchase of development rights.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2023.</w:t>
      </w:r>
    </w:p>
    <w:p>
      <w:pPr>
        <w:spacing w:before="0" w:after="0" w:line="408" w:lineRule="exact"/>
        <w:ind w:left="0" w:right="0" w:firstLine="576"/>
        <w:jc w:val="left"/>
      </w:pPr>
      <w:r>
        <w:rPr/>
        <w:t xml:space="preserve">Passed by the House April 11,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d790fc19d2234cb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cf6e60ee9e4c76" /><Relationship Type="http://schemas.openxmlformats.org/officeDocument/2006/relationships/footer" Target="/word/footer1.xml" Id="Rd790fc19d2234cb1" /></Relationships>
</file>